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1341E">
      <w:pPr>
        <w:jc w:val="center"/>
        <w:rPr>
          <w:rFonts w:hint="eastAsia" w:ascii="黑体" w:hAnsi="黑体" w:eastAsia="黑体"/>
          <w:sz w:val="52"/>
          <w:szCs w:val="52"/>
        </w:rPr>
      </w:pPr>
      <w:r>
        <w:rPr>
          <w:rFonts w:hint="eastAsia" w:ascii="黑体" w:hAnsi="黑体" w:eastAsia="黑体"/>
          <w:sz w:val="52"/>
          <w:szCs w:val="52"/>
        </w:rPr>
        <w:t>中国仪器仪表行业协会团体标准</w:t>
      </w:r>
    </w:p>
    <w:p w14:paraId="4BA5521B">
      <w:pPr>
        <w:rPr>
          <w:rFonts w:ascii="Times New Roman" w:hAnsi="Times New Roman" w:eastAsia="黑体"/>
          <w:sz w:val="52"/>
          <w:szCs w:val="52"/>
        </w:rPr>
      </w:pPr>
    </w:p>
    <w:p w14:paraId="7409250F">
      <w:pPr>
        <w:rPr>
          <w:rFonts w:ascii="Times New Roman" w:hAnsi="Times New Roman" w:eastAsia="黑体"/>
          <w:sz w:val="52"/>
          <w:szCs w:val="52"/>
        </w:rPr>
      </w:pPr>
    </w:p>
    <w:p w14:paraId="4FC0DF9E">
      <w:pPr>
        <w:rPr>
          <w:rFonts w:ascii="Times New Roman" w:hAnsi="Times New Roman" w:eastAsia="黑体"/>
          <w:sz w:val="52"/>
          <w:szCs w:val="52"/>
        </w:rPr>
      </w:pPr>
    </w:p>
    <w:p w14:paraId="5BF87507">
      <w:pPr>
        <w:rPr>
          <w:rFonts w:ascii="Times New Roman" w:hAnsi="Times New Roman" w:eastAsia="黑体"/>
          <w:sz w:val="52"/>
          <w:szCs w:val="52"/>
        </w:rPr>
      </w:pPr>
    </w:p>
    <w:p w14:paraId="6EC93853">
      <w:pPr>
        <w:rPr>
          <w:rFonts w:ascii="Times New Roman" w:hAnsi="Times New Roman" w:eastAsia="黑体"/>
          <w:sz w:val="52"/>
          <w:szCs w:val="52"/>
        </w:rPr>
      </w:pPr>
    </w:p>
    <w:p w14:paraId="31B4FC02">
      <w:pPr>
        <w:rPr>
          <w:rFonts w:hint="eastAsia" w:ascii="Times New Roman" w:hAnsi="Times New Roman" w:eastAsia="黑体"/>
          <w:sz w:val="52"/>
          <w:szCs w:val="52"/>
        </w:rPr>
      </w:pPr>
    </w:p>
    <w:p w14:paraId="48DE3B1F">
      <w:pPr>
        <w:jc w:val="center"/>
        <w:rPr>
          <w:rFonts w:hint="eastAsia" w:ascii="黑体" w:hAnsi="黑体" w:eastAsia="黑体"/>
          <w:sz w:val="44"/>
          <w:szCs w:val="44"/>
          <w:highlight w:val="none"/>
        </w:rPr>
      </w:pPr>
      <w:r>
        <w:rPr>
          <w:rFonts w:hint="eastAsia" w:ascii="黑体" w:hAnsi="黑体" w:eastAsia="黑体"/>
          <w:sz w:val="44"/>
          <w:szCs w:val="44"/>
          <w:highlight w:val="none"/>
        </w:rPr>
        <w:t>电力量测领域图数据模型构建指南</w:t>
      </w:r>
    </w:p>
    <w:p w14:paraId="18C96666">
      <w:pPr>
        <w:rPr>
          <w:rFonts w:ascii="Times New Roman" w:hAnsi="Times New Roman"/>
          <w:sz w:val="32"/>
          <w:szCs w:val="32"/>
        </w:rPr>
      </w:pPr>
    </w:p>
    <w:p w14:paraId="6CDE48C7">
      <w:pPr>
        <w:rPr>
          <w:rFonts w:ascii="Times New Roman" w:hAnsi="Times New Roman"/>
          <w:sz w:val="32"/>
          <w:szCs w:val="32"/>
        </w:rPr>
      </w:pPr>
    </w:p>
    <w:p w14:paraId="68224E01">
      <w:pPr>
        <w:rPr>
          <w:rFonts w:ascii="Times New Roman" w:hAnsi="Times New Roman"/>
          <w:sz w:val="32"/>
          <w:szCs w:val="32"/>
        </w:rPr>
      </w:pPr>
    </w:p>
    <w:p w14:paraId="16F5CEDB">
      <w:pPr>
        <w:jc w:val="center"/>
        <w:rPr>
          <w:rFonts w:hint="eastAsia" w:ascii="黑体" w:hAnsi="黑体" w:eastAsia="黑体"/>
          <w:b/>
          <w:sz w:val="44"/>
          <w:szCs w:val="44"/>
        </w:rPr>
      </w:pPr>
      <w:r>
        <w:rPr>
          <w:rFonts w:hint="eastAsia" w:ascii="黑体" w:hAnsi="黑体" w:eastAsia="黑体"/>
          <w:sz w:val="44"/>
          <w:szCs w:val="44"/>
        </w:rPr>
        <w:t>编制说明</w:t>
      </w:r>
    </w:p>
    <w:p w14:paraId="6E65D71D">
      <w:pPr>
        <w:rPr>
          <w:rFonts w:ascii="Times New Roman" w:hAnsi="Times New Roman"/>
          <w:sz w:val="28"/>
          <w:szCs w:val="28"/>
        </w:rPr>
      </w:pPr>
      <w:r>
        <w:rPr>
          <w:rFonts w:hint="eastAsia" w:ascii="Times New Roman" w:hAnsi="Times New Roman"/>
          <w:sz w:val="28"/>
          <w:szCs w:val="28"/>
        </w:rPr>
        <w:t xml:space="preserve">                          </w:t>
      </w:r>
    </w:p>
    <w:p w14:paraId="000034D0">
      <w:pPr>
        <w:rPr>
          <w:rFonts w:ascii="Times New Roman" w:hAnsi="Times New Roman"/>
          <w:sz w:val="28"/>
          <w:szCs w:val="28"/>
        </w:rPr>
      </w:pPr>
    </w:p>
    <w:p w14:paraId="14E4E505">
      <w:pPr>
        <w:rPr>
          <w:rFonts w:ascii="Times New Roman" w:hAnsi="Times New Roman"/>
          <w:sz w:val="28"/>
          <w:szCs w:val="28"/>
        </w:rPr>
      </w:pPr>
    </w:p>
    <w:p w14:paraId="50BF441C">
      <w:pPr>
        <w:rPr>
          <w:rFonts w:ascii="Times New Roman" w:hAnsi="Times New Roman"/>
          <w:sz w:val="28"/>
          <w:szCs w:val="28"/>
        </w:rPr>
      </w:pPr>
    </w:p>
    <w:p w14:paraId="671E2319">
      <w:pPr>
        <w:rPr>
          <w:rFonts w:hint="eastAsia" w:ascii="Times New Roman" w:hAnsi="Times New Roman"/>
          <w:sz w:val="28"/>
          <w:szCs w:val="28"/>
        </w:rPr>
      </w:pPr>
    </w:p>
    <w:p w14:paraId="43129A21">
      <w:pPr>
        <w:rPr>
          <w:rFonts w:ascii="Times New Roman" w:hAnsi="Times New Roman"/>
          <w:sz w:val="28"/>
          <w:szCs w:val="28"/>
        </w:rPr>
      </w:pPr>
    </w:p>
    <w:p w14:paraId="5029188C">
      <w:pPr>
        <w:jc w:val="center"/>
        <w:rPr>
          <w:rFonts w:ascii="Times New Roman" w:hAnsi="Times New Roman"/>
          <w:sz w:val="28"/>
          <w:szCs w:val="28"/>
        </w:rPr>
      </w:pPr>
      <w:r>
        <w:rPr>
          <w:rFonts w:hint="eastAsia" w:ascii="Times New Roman" w:hAnsi="Times New Roman"/>
          <w:sz w:val="28"/>
          <w:szCs w:val="28"/>
        </w:rPr>
        <w:t>20</w:t>
      </w:r>
      <w:r>
        <w:rPr>
          <w:rFonts w:hint="eastAsia" w:ascii="Times New Roman" w:hAnsi="Times New Roman"/>
          <w:sz w:val="28"/>
          <w:szCs w:val="28"/>
          <w:lang w:val="en-US" w:eastAsia="zh-CN"/>
        </w:rPr>
        <w:t>26年9月</w:t>
      </w:r>
    </w:p>
    <w:p w14:paraId="591318EB">
      <w:pPr>
        <w:pStyle w:val="25"/>
        <w:spacing w:before="360" w:after="360"/>
        <w:rPr>
          <w:rFonts w:hint="eastAsia" w:hAnsi="黑体" w:cs="黑体"/>
          <w:shd w:val="clear" w:color="auto" w:fill="FFFFFF"/>
        </w:rPr>
        <w:sectPr>
          <w:pgSz w:w="11906" w:h="16838"/>
          <w:pgMar w:top="1440" w:right="1800" w:bottom="1440" w:left="1800" w:header="851" w:footer="992" w:gutter="0"/>
          <w:cols w:space="720" w:num="1"/>
          <w:docGrid w:type="lines" w:linePitch="312" w:charSpace="0"/>
        </w:sectPr>
      </w:pPr>
    </w:p>
    <w:p w14:paraId="0BF2941B">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一、 工作简况</w:t>
      </w:r>
    </w:p>
    <w:p w14:paraId="5769340E">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楷体_GB2312" w:hAnsi="方正楷体_GB2312" w:eastAsia="方正楷体_GB2312" w:cs="方正楷体_GB2312"/>
          <w:b w:val="0"/>
          <w:bCs w:val="0"/>
          <w:sz w:val="32"/>
          <w:szCs w:val="32"/>
          <w:highlight w:val="none"/>
        </w:rPr>
      </w:pPr>
      <w:r>
        <w:rPr>
          <w:rFonts w:hint="eastAsia" w:ascii="方正楷体_GB2312" w:hAnsi="方正楷体_GB2312" w:eastAsia="方正楷体_GB2312" w:cs="方正楷体_GB2312"/>
          <w:b w:val="0"/>
          <w:bCs w:val="0"/>
          <w:sz w:val="32"/>
          <w:szCs w:val="32"/>
          <w:highlight w:val="none"/>
          <w:lang w:val="en-US" w:eastAsia="zh-CN"/>
        </w:rPr>
        <w:t>1.</w:t>
      </w:r>
      <w:r>
        <w:rPr>
          <w:rFonts w:hint="eastAsia" w:ascii="方正楷体_GB2312" w:hAnsi="方正楷体_GB2312" w:eastAsia="方正楷体_GB2312" w:cs="方正楷体_GB2312"/>
          <w:b w:val="0"/>
          <w:bCs w:val="0"/>
          <w:sz w:val="32"/>
          <w:szCs w:val="32"/>
          <w:highlight w:val="none"/>
        </w:rPr>
        <w:t>任务来源</w:t>
      </w:r>
    </w:p>
    <w:p w14:paraId="2CA429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本团体标准根据中国仪器仪表行业协会《关于《电力测量领域图数据模型构建与实施指南》等6项团体标准立项的批复》（中仪协﹝202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号）文件立项，项目编号为：T/CIMA0213，由中国仪器仪表行业协会电工仪器仪表分会提出，中国仪器仪表行业协会归口。</w:t>
      </w:r>
    </w:p>
    <w:p w14:paraId="2E80A46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制定计划起止时间为2025年1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月至202</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月。</w:t>
      </w:r>
    </w:p>
    <w:p w14:paraId="08A3904C">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楷体_GB2312" w:hAnsi="方正楷体_GB2312" w:eastAsia="方正楷体_GB2312" w:cs="方正楷体_GB2312"/>
          <w:b w:val="0"/>
          <w:bCs w:val="0"/>
          <w:sz w:val="32"/>
          <w:szCs w:val="32"/>
          <w:highlight w:val="none"/>
          <w:lang w:val="en-US" w:eastAsia="zh-CN"/>
        </w:rPr>
      </w:pPr>
      <w:r>
        <w:rPr>
          <w:rFonts w:hint="eastAsia" w:ascii="方正楷体_GB2312" w:hAnsi="方正楷体_GB2312" w:eastAsia="方正楷体_GB2312" w:cs="方正楷体_GB2312"/>
          <w:b w:val="0"/>
          <w:bCs w:val="0"/>
          <w:sz w:val="32"/>
          <w:szCs w:val="32"/>
          <w:highlight w:val="none"/>
          <w:lang w:val="en-US" w:eastAsia="zh-CN"/>
        </w:rPr>
        <w:t>2.主要工作过程</w:t>
      </w:r>
    </w:p>
    <w:p w14:paraId="46980C9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宋体" w:hAnsi="宋体" w:eastAsia="宋体" w:cs="宋体"/>
          <w:color w:val="auto"/>
          <w:sz w:val="24"/>
          <w:szCs w:val="24"/>
        </w:rPr>
      </w:pPr>
      <w:r>
        <w:rPr>
          <w:rFonts w:hint="default" w:ascii="宋体" w:hAnsi="宋体" w:eastAsia="宋体" w:cs="宋体"/>
          <w:b/>
          <w:bCs/>
          <w:color w:val="auto"/>
          <w:sz w:val="24"/>
          <w:szCs w:val="24"/>
          <w:highlight w:val="none"/>
        </w:rPr>
        <w:t>202</w:t>
      </w:r>
      <w:r>
        <w:rPr>
          <w:rFonts w:hint="eastAsia" w:ascii="宋体" w:hAnsi="宋体" w:cs="宋体"/>
          <w:b/>
          <w:bCs/>
          <w:color w:val="auto"/>
          <w:sz w:val="24"/>
          <w:szCs w:val="24"/>
          <w:highlight w:val="none"/>
          <w:lang w:val="en-US" w:eastAsia="zh-CN"/>
        </w:rPr>
        <w:t>5</w:t>
      </w:r>
      <w:r>
        <w:rPr>
          <w:rFonts w:hint="default" w:ascii="宋体" w:hAnsi="宋体" w:eastAsia="宋体" w:cs="宋体"/>
          <w:b/>
          <w:bCs/>
          <w:color w:val="auto"/>
          <w:sz w:val="24"/>
          <w:szCs w:val="24"/>
          <w:highlight w:val="none"/>
        </w:rPr>
        <w:t>年</w:t>
      </w:r>
      <w:r>
        <w:rPr>
          <w:rFonts w:hint="default" w:ascii="宋体" w:hAnsi="宋体" w:eastAsia="宋体" w:cs="宋体"/>
          <w:b/>
          <w:bCs/>
          <w:color w:val="auto"/>
          <w:sz w:val="24"/>
          <w:szCs w:val="24"/>
          <w:highlight w:val="none"/>
          <w:lang w:val="en-US" w:eastAsia="zh-CN"/>
        </w:rPr>
        <w:t>1</w:t>
      </w:r>
      <w:r>
        <w:rPr>
          <w:rFonts w:hint="eastAsia" w:ascii="宋体" w:hAnsi="宋体" w:cs="宋体"/>
          <w:b/>
          <w:bCs/>
          <w:color w:val="auto"/>
          <w:sz w:val="24"/>
          <w:szCs w:val="24"/>
          <w:highlight w:val="none"/>
          <w:lang w:val="en-US" w:eastAsia="zh-CN"/>
        </w:rPr>
        <w:t>0</w:t>
      </w:r>
      <w:r>
        <w:rPr>
          <w:rFonts w:hint="default" w:ascii="宋体" w:hAnsi="宋体" w:eastAsia="宋体" w:cs="宋体"/>
          <w:b/>
          <w:bCs/>
          <w:color w:val="auto"/>
          <w:sz w:val="24"/>
          <w:szCs w:val="24"/>
          <w:highlight w:val="none"/>
        </w:rPr>
        <w:t>月：</w:t>
      </w:r>
      <w:r>
        <w:rPr>
          <w:rFonts w:hint="default" w:ascii="宋体" w:hAnsi="宋体" w:eastAsia="宋体" w:cs="宋体"/>
          <w:color w:val="auto"/>
          <w:sz w:val="24"/>
          <w:szCs w:val="24"/>
          <w:highlight w:val="none"/>
        </w:rPr>
        <w:t>中国仪器</w:t>
      </w:r>
      <w:r>
        <w:rPr>
          <w:rFonts w:hint="default" w:ascii="宋体" w:hAnsi="宋体" w:eastAsia="宋体" w:cs="宋体"/>
          <w:color w:val="auto"/>
          <w:sz w:val="24"/>
          <w:szCs w:val="24"/>
        </w:rPr>
        <w:t>仪表行业协会电工仪器仪表分会申请立项，并形成标准草案稿。</w:t>
      </w:r>
    </w:p>
    <w:p w14:paraId="2D97BA0D">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宋体" w:hAnsi="宋体" w:eastAsia="宋体" w:cs="宋体"/>
          <w:color w:val="auto"/>
          <w:sz w:val="24"/>
          <w:szCs w:val="24"/>
        </w:rPr>
      </w:pPr>
      <w:r>
        <w:rPr>
          <w:rFonts w:hint="default" w:ascii="宋体" w:hAnsi="宋体" w:eastAsia="宋体" w:cs="宋体"/>
          <w:b/>
          <w:bCs/>
          <w:color w:val="auto"/>
          <w:sz w:val="24"/>
          <w:szCs w:val="24"/>
          <w:lang w:val="en-US" w:eastAsia="zh-CN"/>
        </w:rPr>
        <w:t>202</w:t>
      </w:r>
      <w:r>
        <w:rPr>
          <w:rFonts w:hint="eastAsia" w:ascii="宋体" w:hAnsi="宋体" w:cs="宋体"/>
          <w:b/>
          <w:bCs/>
          <w:color w:val="auto"/>
          <w:sz w:val="24"/>
          <w:szCs w:val="24"/>
          <w:lang w:val="en-US" w:eastAsia="zh-CN"/>
        </w:rPr>
        <w:t>6</w:t>
      </w:r>
      <w:r>
        <w:rPr>
          <w:rFonts w:hint="default" w:ascii="宋体" w:hAnsi="宋体" w:eastAsia="宋体" w:cs="宋体"/>
          <w:b/>
          <w:bCs/>
          <w:color w:val="auto"/>
          <w:sz w:val="24"/>
          <w:szCs w:val="24"/>
        </w:rPr>
        <w:t>年</w:t>
      </w:r>
      <w:r>
        <w:rPr>
          <w:rFonts w:hint="eastAsia" w:ascii="宋体" w:hAnsi="宋体" w:cs="宋体"/>
          <w:b/>
          <w:bCs/>
          <w:color w:val="auto"/>
          <w:sz w:val="24"/>
          <w:szCs w:val="24"/>
          <w:lang w:val="en-US" w:eastAsia="zh-CN"/>
        </w:rPr>
        <w:t>2</w:t>
      </w:r>
      <w:r>
        <w:rPr>
          <w:rFonts w:hint="default" w:ascii="宋体" w:hAnsi="宋体" w:eastAsia="宋体" w:cs="宋体"/>
          <w:b/>
          <w:bCs/>
          <w:color w:val="auto"/>
          <w:sz w:val="24"/>
          <w:szCs w:val="24"/>
        </w:rPr>
        <w:t>月</w:t>
      </w:r>
      <w:r>
        <w:rPr>
          <w:rFonts w:hint="default" w:ascii="宋体" w:hAnsi="宋体" w:eastAsia="宋体" w:cs="宋体"/>
          <w:color w:val="auto"/>
          <w:sz w:val="24"/>
          <w:szCs w:val="24"/>
        </w:rPr>
        <w:t>：中国仪器仪表行业协会下达了立项的批复，由南方电网数字电网集团有限公司计量中心牵头，组织成立标准起草工作组。</w:t>
      </w:r>
    </w:p>
    <w:p w14:paraId="3C5438AA">
      <w:pPr>
        <w:keepNext w:val="0"/>
        <w:keepLines w:val="0"/>
        <w:pageBreakBefore w:val="0"/>
        <w:widowControl/>
        <w:suppressLineNumbers w:val="0"/>
        <w:kinsoku/>
        <w:wordWrap/>
        <w:overflowPunct/>
        <w:topLinePunct w:val="0"/>
        <w:autoSpaceDE/>
        <w:autoSpaceDN/>
        <w:bidi w:val="0"/>
        <w:adjustRightInd/>
        <w:snapToGrid/>
        <w:spacing w:line="560" w:lineRule="exact"/>
        <w:ind w:firstLine="482" w:firstLineChars="200"/>
        <w:jc w:val="both"/>
        <w:textAlignment w:val="auto"/>
        <w:rPr>
          <w:rFonts w:hint="default" w:ascii="宋体" w:hAnsi="宋体" w:eastAsia="宋体" w:cs="宋体"/>
          <w:color w:val="auto"/>
          <w:sz w:val="24"/>
          <w:szCs w:val="24"/>
        </w:rPr>
      </w:pPr>
      <w:r>
        <w:rPr>
          <w:rFonts w:hint="default" w:ascii="宋体" w:hAnsi="宋体" w:eastAsia="宋体" w:cs="宋体"/>
          <w:b/>
          <w:bCs/>
          <w:color w:val="auto"/>
          <w:sz w:val="24"/>
          <w:szCs w:val="24"/>
        </w:rPr>
        <w:t>202</w:t>
      </w:r>
      <w:r>
        <w:rPr>
          <w:rFonts w:hint="eastAsia" w:ascii="宋体" w:hAnsi="宋体" w:cs="宋体"/>
          <w:b/>
          <w:bCs/>
          <w:color w:val="auto"/>
          <w:sz w:val="24"/>
          <w:szCs w:val="24"/>
          <w:lang w:val="en-US" w:eastAsia="zh-CN"/>
        </w:rPr>
        <w:t>6</w:t>
      </w:r>
      <w:r>
        <w:rPr>
          <w:rFonts w:hint="default" w:ascii="宋体" w:hAnsi="宋体" w:eastAsia="宋体" w:cs="宋体"/>
          <w:b/>
          <w:bCs/>
          <w:color w:val="auto"/>
          <w:sz w:val="24"/>
          <w:szCs w:val="24"/>
        </w:rPr>
        <w:t>年</w:t>
      </w:r>
      <w:r>
        <w:rPr>
          <w:rFonts w:hint="eastAsia" w:ascii="宋体" w:hAnsi="宋体" w:cs="宋体"/>
          <w:b/>
          <w:bCs/>
          <w:color w:val="auto"/>
          <w:sz w:val="24"/>
          <w:szCs w:val="24"/>
          <w:lang w:val="en-US" w:eastAsia="zh-CN"/>
        </w:rPr>
        <w:t>3</w:t>
      </w:r>
      <w:r>
        <w:rPr>
          <w:rFonts w:hint="default" w:ascii="宋体" w:hAnsi="宋体" w:eastAsia="宋体" w:cs="宋体"/>
          <w:b/>
          <w:bCs/>
          <w:color w:val="auto"/>
          <w:sz w:val="24"/>
          <w:szCs w:val="24"/>
        </w:rPr>
        <w:t>月</w:t>
      </w:r>
      <w:r>
        <w:rPr>
          <w:rFonts w:hint="default" w:ascii="宋体" w:hAnsi="宋体" w:eastAsia="宋体" w:cs="宋体"/>
          <w:color w:val="auto"/>
          <w:sz w:val="24"/>
          <w:szCs w:val="24"/>
        </w:rPr>
        <w:t>：在</w:t>
      </w:r>
      <w:r>
        <w:rPr>
          <w:rFonts w:hint="eastAsia" w:ascii="宋体" w:hAnsi="宋体" w:eastAsia="宋体" w:cs="宋体"/>
          <w:color w:val="auto"/>
          <w:sz w:val="24"/>
          <w:szCs w:val="24"/>
          <w:lang w:val="en-US" w:eastAsia="zh-CN"/>
        </w:rPr>
        <w:t>广东汕头</w:t>
      </w:r>
      <w:r>
        <w:rPr>
          <w:rFonts w:hint="default" w:ascii="宋体" w:hAnsi="宋体" w:eastAsia="宋体" w:cs="宋体"/>
          <w:color w:val="auto"/>
          <w:sz w:val="24"/>
          <w:szCs w:val="24"/>
        </w:rPr>
        <w:t>召开起草第一次工作组会议，</w:t>
      </w:r>
      <w:r>
        <w:rPr>
          <w:rFonts w:hint="default" w:ascii="宋体" w:hAnsi="宋体" w:eastAsia="宋体" w:cs="宋体"/>
          <w:color w:val="auto"/>
          <w:sz w:val="24"/>
          <w:szCs w:val="24"/>
          <w:lang w:val="en-US" w:eastAsia="zh-CN"/>
        </w:rPr>
        <w:t>本次会议工作组针对标准的标准化对象、整体框架结构开展了严谨细致的逐条研讨，统一了标准编制的核心思路与整体架构，明确了标准编制的核心技术方向，细化落实各项编制相关工作分工，并梳理汇总会议研讨成果，最终形成本次工作组会议纪要。</w:t>
      </w:r>
    </w:p>
    <w:p w14:paraId="5274011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宋体" w:hAnsi="宋体" w:eastAsia="宋体" w:cs="宋体"/>
          <w:color w:val="auto"/>
          <w:sz w:val="24"/>
          <w:szCs w:val="24"/>
          <w:highlight w:val="none"/>
        </w:rPr>
      </w:pPr>
      <w:r>
        <w:rPr>
          <w:rFonts w:hint="default" w:ascii="宋体" w:hAnsi="宋体" w:eastAsia="宋体" w:cs="宋体"/>
          <w:b/>
          <w:bCs/>
          <w:color w:val="auto"/>
          <w:sz w:val="24"/>
          <w:szCs w:val="24"/>
          <w:highlight w:val="none"/>
        </w:rPr>
        <w:t>202</w:t>
      </w:r>
      <w:r>
        <w:rPr>
          <w:rFonts w:hint="eastAsia" w:ascii="宋体" w:hAnsi="宋体" w:cs="宋体"/>
          <w:b/>
          <w:bCs/>
          <w:color w:val="auto"/>
          <w:sz w:val="24"/>
          <w:szCs w:val="24"/>
          <w:highlight w:val="none"/>
          <w:lang w:val="en-US" w:eastAsia="zh-CN"/>
        </w:rPr>
        <w:t>6</w:t>
      </w:r>
      <w:r>
        <w:rPr>
          <w:rFonts w:hint="default" w:ascii="宋体" w:hAnsi="宋体" w:eastAsia="宋体" w:cs="宋体"/>
          <w:b/>
          <w:bCs/>
          <w:color w:val="auto"/>
          <w:sz w:val="24"/>
          <w:szCs w:val="24"/>
          <w:highlight w:val="none"/>
        </w:rPr>
        <w:t>年</w:t>
      </w:r>
      <w:r>
        <w:rPr>
          <w:rFonts w:hint="eastAsia" w:ascii="宋体" w:hAnsi="宋体" w:cs="宋体"/>
          <w:b/>
          <w:bCs/>
          <w:color w:val="auto"/>
          <w:sz w:val="24"/>
          <w:szCs w:val="24"/>
          <w:highlight w:val="none"/>
          <w:lang w:val="en-US" w:eastAsia="zh-CN"/>
        </w:rPr>
        <w:t>8</w:t>
      </w:r>
      <w:r>
        <w:rPr>
          <w:rFonts w:hint="default" w:ascii="宋体" w:hAnsi="宋体" w:eastAsia="宋体" w:cs="宋体"/>
          <w:b/>
          <w:bCs/>
          <w:color w:val="auto"/>
          <w:sz w:val="24"/>
          <w:szCs w:val="24"/>
          <w:highlight w:val="none"/>
        </w:rPr>
        <w:t>月</w:t>
      </w:r>
      <w:r>
        <w:rPr>
          <w:rFonts w:hint="default" w:ascii="宋体" w:hAnsi="宋体" w:eastAsia="宋体" w:cs="宋体"/>
          <w:color w:val="auto"/>
          <w:sz w:val="24"/>
          <w:szCs w:val="24"/>
          <w:highlight w:val="none"/>
        </w:rPr>
        <w:t>：工作组讨论稿在标准编制工作组内部第二次征求意见，共回收意见141条，主笔单位</w:t>
      </w:r>
      <w:r>
        <w:rPr>
          <w:rFonts w:hint="default" w:ascii="宋体" w:hAnsi="宋体" w:eastAsia="宋体" w:cs="宋体"/>
          <w:color w:val="auto"/>
          <w:sz w:val="24"/>
          <w:szCs w:val="24"/>
          <w:highlight w:val="none"/>
          <w:lang w:val="en-US" w:eastAsia="zh-CN"/>
        </w:rPr>
        <w:t>对</w:t>
      </w:r>
      <w:r>
        <w:rPr>
          <w:rFonts w:hint="default" w:ascii="宋体" w:hAnsi="宋体" w:eastAsia="宋体" w:cs="宋体"/>
          <w:color w:val="auto"/>
          <w:sz w:val="24"/>
          <w:szCs w:val="24"/>
          <w:highlight w:val="none"/>
        </w:rPr>
        <w:t>回收意见</w:t>
      </w:r>
      <w:r>
        <w:rPr>
          <w:rFonts w:hint="eastAsia" w:ascii="宋体" w:hAnsi="宋体" w:cs="宋体"/>
          <w:color w:val="auto"/>
          <w:sz w:val="24"/>
          <w:szCs w:val="24"/>
          <w:highlight w:val="none"/>
          <w:lang w:val="en-US" w:eastAsia="zh-CN"/>
        </w:rPr>
        <w:t>部分</w:t>
      </w:r>
      <w:r>
        <w:rPr>
          <w:rFonts w:hint="default" w:ascii="宋体" w:hAnsi="宋体" w:eastAsia="宋体" w:cs="宋体"/>
          <w:color w:val="auto"/>
          <w:sz w:val="24"/>
          <w:szCs w:val="24"/>
          <w:highlight w:val="none"/>
          <w:lang w:val="en-US" w:eastAsia="zh-CN"/>
        </w:rPr>
        <w:t>采纳</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rPr>
        <w:t>对工作组讨论稿进行了修改完善。</w:t>
      </w:r>
    </w:p>
    <w:p w14:paraId="5099DE01">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宋体" w:hAnsi="宋体" w:eastAsia="宋体" w:cs="宋体"/>
          <w:color w:val="auto"/>
          <w:sz w:val="24"/>
          <w:szCs w:val="24"/>
        </w:rPr>
      </w:pPr>
      <w:r>
        <w:rPr>
          <w:rFonts w:hint="default" w:ascii="宋体" w:hAnsi="宋体" w:eastAsia="宋体" w:cs="宋体"/>
          <w:b/>
          <w:bCs/>
          <w:color w:val="auto"/>
          <w:sz w:val="24"/>
          <w:szCs w:val="24"/>
          <w:highlight w:val="none"/>
        </w:rPr>
        <w:t>202</w:t>
      </w:r>
      <w:r>
        <w:rPr>
          <w:rFonts w:hint="eastAsia" w:ascii="宋体" w:hAnsi="宋体" w:cs="宋体"/>
          <w:b/>
          <w:bCs/>
          <w:color w:val="auto"/>
          <w:sz w:val="24"/>
          <w:szCs w:val="24"/>
          <w:highlight w:val="none"/>
          <w:lang w:val="en-US" w:eastAsia="zh-CN"/>
        </w:rPr>
        <w:t>6</w:t>
      </w:r>
      <w:r>
        <w:rPr>
          <w:rFonts w:hint="default" w:ascii="宋体" w:hAnsi="宋体" w:eastAsia="宋体" w:cs="宋体"/>
          <w:b/>
          <w:bCs/>
          <w:color w:val="auto"/>
          <w:sz w:val="24"/>
          <w:szCs w:val="24"/>
          <w:highlight w:val="none"/>
        </w:rPr>
        <w:t>年</w:t>
      </w:r>
      <w:r>
        <w:rPr>
          <w:rFonts w:hint="eastAsia" w:ascii="宋体" w:hAnsi="宋体" w:cs="宋体"/>
          <w:b/>
          <w:bCs/>
          <w:color w:val="auto"/>
          <w:sz w:val="24"/>
          <w:szCs w:val="24"/>
          <w:highlight w:val="none"/>
          <w:lang w:val="en-US" w:eastAsia="zh-CN"/>
        </w:rPr>
        <w:t>9</w:t>
      </w:r>
      <w:r>
        <w:rPr>
          <w:rFonts w:hint="default" w:ascii="宋体" w:hAnsi="宋体" w:eastAsia="宋体" w:cs="宋体"/>
          <w:b/>
          <w:bCs/>
          <w:color w:val="auto"/>
          <w:sz w:val="24"/>
          <w:szCs w:val="24"/>
          <w:highlight w:val="none"/>
        </w:rPr>
        <w:t>月：</w:t>
      </w:r>
      <w:r>
        <w:rPr>
          <w:rFonts w:hint="default" w:ascii="宋体" w:hAnsi="宋体" w:eastAsia="宋体" w:cs="宋体"/>
          <w:color w:val="auto"/>
          <w:sz w:val="24"/>
          <w:szCs w:val="24"/>
          <w:highlight w:val="none"/>
        </w:rPr>
        <w:t>在云</w:t>
      </w:r>
      <w:r>
        <w:rPr>
          <w:rFonts w:hint="default" w:ascii="宋体" w:hAnsi="宋体" w:eastAsia="宋体" w:cs="宋体"/>
          <w:color w:val="auto"/>
          <w:sz w:val="24"/>
          <w:szCs w:val="24"/>
        </w:rPr>
        <w:t>南昆明召开起草工作组第二次会议，会上围绕标准化对象、标准结构展开讨论，并对团体标准草案及反馈意见、工作组讨论稿以及所征求的意见内容进行了仔细研讨，形成会议纪要。</w:t>
      </w:r>
    </w:p>
    <w:p w14:paraId="0660AC27">
      <w:pPr>
        <w:spacing w:line="400" w:lineRule="exact"/>
        <w:ind w:firstLine="472" w:firstLineChars="196"/>
        <w:rPr>
          <w:rFonts w:hint="default" w:eastAsiaTheme="majorEastAsia"/>
          <w:lang w:val="en-US" w:eastAsia="zh-CN"/>
        </w:rPr>
      </w:pPr>
      <w:bookmarkStart w:id="0" w:name="_GoBack"/>
      <w:r>
        <w:rPr>
          <w:rFonts w:hint="eastAsia" w:ascii="宋体" w:hAnsi="宋体" w:cs="宋体"/>
          <w:b/>
          <w:bCs/>
          <w:color w:val="auto"/>
          <w:sz w:val="24"/>
          <w:szCs w:val="24"/>
          <w:highlight w:val="none"/>
          <w:lang w:val="en-US" w:eastAsia="zh-CN"/>
        </w:rPr>
        <w:t>2026年9月，</w:t>
      </w:r>
      <w:r>
        <w:rPr>
          <w:rFonts w:hint="eastAsia" w:asciiTheme="majorEastAsia" w:hAnsiTheme="majorEastAsia" w:eastAsiaTheme="majorEastAsia" w:cstheme="majorEastAsia"/>
          <w:color w:val="auto"/>
          <w:sz w:val="24"/>
          <w:highlight w:val="none"/>
        </w:rPr>
        <w:t>标准工作组完成了征求意见稿</w:t>
      </w:r>
      <w:r>
        <w:rPr>
          <w:rFonts w:hint="eastAsia" w:asciiTheme="majorEastAsia" w:hAnsiTheme="majorEastAsia" w:eastAsiaTheme="majorEastAsia" w:cstheme="majorEastAsia"/>
          <w:color w:val="auto"/>
          <w:sz w:val="24"/>
          <w:highlight w:val="none"/>
          <w:lang w:eastAsia="zh-CN"/>
        </w:rPr>
        <w:t>。</w:t>
      </w:r>
      <w:bookmarkEnd w:id="0"/>
    </w:p>
    <w:p w14:paraId="63A189BC">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楷体_GB2312" w:hAnsi="方正楷体_GB2312" w:eastAsia="方正楷体_GB2312" w:cs="方正楷体_GB2312"/>
          <w:b w:val="0"/>
          <w:bCs w:val="0"/>
          <w:sz w:val="32"/>
          <w:szCs w:val="32"/>
          <w:highlight w:val="none"/>
          <w:lang w:val="en-US" w:eastAsia="zh-CN"/>
        </w:rPr>
      </w:pPr>
      <w:r>
        <w:rPr>
          <w:rFonts w:hint="eastAsia" w:ascii="方正楷体_GB2312" w:hAnsi="方正楷体_GB2312" w:eastAsia="方正楷体_GB2312" w:cs="方正楷体_GB2312"/>
          <w:b w:val="0"/>
          <w:bCs w:val="0"/>
          <w:sz w:val="32"/>
          <w:szCs w:val="32"/>
          <w:highlight w:val="none"/>
          <w:lang w:val="en-US" w:eastAsia="zh-CN"/>
        </w:rPr>
        <w:t>3.主要参加单位和工作组成员及其所做的工作</w:t>
      </w:r>
    </w:p>
    <w:p w14:paraId="3CE0C29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标准牵头起草单位是南方电网数字电网集团有限公司计量中心，主要起草单位有海南电网有限责任公司电能计量中心、广东电网有限责任公司、云南电网有限责任公司、贵州电网有限责任公司、广西电网有限责任公司、海南电网有限责任公司、广州伟宏智能科技有限公司。</w:t>
      </w:r>
    </w:p>
    <w:p w14:paraId="7EB3D70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南方电网数字电网集团有限公司计量中心作为执笔单位</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负责本标准的工作组讨论稿</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征求意见稿</w:t>
      </w:r>
      <w:r>
        <w:rPr>
          <w:rFonts w:hint="eastAsia" w:ascii="宋体" w:hAnsi="宋体" w:eastAsia="宋体" w:cs="宋体"/>
          <w:sz w:val="24"/>
          <w:szCs w:val="24"/>
          <w:highlight w:val="none"/>
          <w:lang w:val="en-US" w:eastAsia="zh-CN"/>
        </w:rPr>
        <w:t>和送审稿</w:t>
      </w:r>
      <w:r>
        <w:rPr>
          <w:rFonts w:hint="eastAsia" w:ascii="宋体" w:hAnsi="宋体" w:eastAsia="宋体" w:cs="宋体"/>
          <w:sz w:val="24"/>
          <w:szCs w:val="24"/>
          <w:highlight w:val="none"/>
        </w:rPr>
        <w:t>的起草、修改工作。</w:t>
      </w:r>
    </w:p>
    <w:p w14:paraId="76DB117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本标准主要起草人：</w:t>
      </w:r>
      <w:r>
        <w:rPr>
          <w:rFonts w:hint="eastAsia" w:ascii="宋体" w:hAnsi="宋体" w:cs="宋体"/>
          <w:sz w:val="24"/>
          <w:szCs w:val="24"/>
          <w:highlight w:val="none"/>
          <w:lang w:val="en-US" w:eastAsia="zh-CN"/>
        </w:rPr>
        <w:t>艾渊、何珊、钟磊、肖胜荣、李克光、杨晓华、周政雷、丁乔乐、杨茗</w:t>
      </w:r>
    </w:p>
    <w:p w14:paraId="7536A0A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highlight w:val="none"/>
        </w:rPr>
      </w:pPr>
      <w:r>
        <w:rPr>
          <w:rFonts w:hint="eastAsia" w:ascii="宋体" w:hAnsi="宋体" w:cs="宋体"/>
          <w:sz w:val="24"/>
          <w:szCs w:val="24"/>
          <w:highlight w:val="none"/>
          <w:lang w:val="en-US" w:eastAsia="zh-CN"/>
        </w:rPr>
        <w:t>艾渊</w:t>
      </w:r>
      <w:r>
        <w:rPr>
          <w:rFonts w:hint="eastAsia" w:ascii="宋体" w:hAnsi="宋体" w:eastAsia="宋体" w:cs="宋体"/>
          <w:sz w:val="24"/>
          <w:szCs w:val="24"/>
          <w:highlight w:val="none"/>
        </w:rPr>
        <w:t>为本标准的主笔人，</w:t>
      </w:r>
      <w:r>
        <w:rPr>
          <w:rFonts w:hint="eastAsia" w:ascii="宋体" w:hAnsi="宋体" w:eastAsia="宋体" w:cs="宋体"/>
          <w:sz w:val="24"/>
          <w:szCs w:val="24"/>
          <w:highlight w:val="none"/>
          <w:lang w:val="en-US" w:eastAsia="zh-CN"/>
        </w:rPr>
        <w:t>承担标准核心框架和基础性章节的编写工作，确保标准技术内容的系统性和规范性；</w:t>
      </w:r>
      <w:r>
        <w:rPr>
          <w:rFonts w:hint="eastAsia" w:ascii="宋体" w:hAnsi="宋体" w:cs="宋体"/>
          <w:sz w:val="24"/>
          <w:szCs w:val="24"/>
          <w:highlight w:val="none"/>
          <w:lang w:val="en-US" w:eastAsia="zh-CN"/>
        </w:rPr>
        <w:t>何珊</w:t>
      </w:r>
      <w:r>
        <w:rPr>
          <w:rFonts w:hint="eastAsia" w:ascii="宋体" w:hAnsi="宋体" w:eastAsia="宋体" w:cs="宋体"/>
          <w:sz w:val="24"/>
          <w:szCs w:val="24"/>
          <w:highlight w:val="none"/>
          <w:lang w:val="en-US" w:eastAsia="zh-CN"/>
        </w:rPr>
        <w:t>为本标准工作组组长，侧重组织协调工作，同时参与通用技术要求的编写；</w:t>
      </w:r>
      <w:r>
        <w:rPr>
          <w:rFonts w:hint="eastAsia" w:ascii="宋体" w:hAnsi="宋体" w:cs="宋体"/>
          <w:sz w:val="24"/>
          <w:szCs w:val="24"/>
          <w:highlight w:val="none"/>
          <w:lang w:val="en-US" w:eastAsia="zh-CN"/>
        </w:rPr>
        <w:t>钟磊、肖胜荣</w:t>
      </w:r>
      <w:r>
        <w:rPr>
          <w:rFonts w:hint="eastAsia" w:ascii="宋体" w:hAnsi="宋体" w:eastAsia="宋体" w:cs="宋体"/>
          <w:sz w:val="24"/>
          <w:szCs w:val="24"/>
          <w:highlight w:val="none"/>
          <w:lang w:val="en-US" w:eastAsia="zh-CN"/>
        </w:rPr>
        <w:t>等组员负责专项技术内容的编写，各起草人根据专业特长分工负责不同章节；所有起草人在编写过程中充分讨论、交叉审核，确保标准技术内容的准确性和协调性，详细职责分工见下表。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011"/>
        <w:gridCol w:w="2277"/>
        <w:gridCol w:w="4306"/>
      </w:tblGrid>
      <w:tr w14:paraId="18D9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02" w:type="dxa"/>
            <w:vAlign w:val="center"/>
          </w:tcPr>
          <w:p w14:paraId="110FE1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序号</w:t>
            </w:r>
          </w:p>
        </w:tc>
        <w:tc>
          <w:tcPr>
            <w:tcW w:w="1011" w:type="dxa"/>
            <w:vAlign w:val="center"/>
          </w:tcPr>
          <w:p w14:paraId="05BC38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姓名</w:t>
            </w:r>
          </w:p>
        </w:tc>
        <w:tc>
          <w:tcPr>
            <w:tcW w:w="2277" w:type="dxa"/>
            <w:vAlign w:val="center"/>
          </w:tcPr>
          <w:p w14:paraId="761721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单位</w:t>
            </w:r>
          </w:p>
        </w:tc>
        <w:tc>
          <w:tcPr>
            <w:tcW w:w="4306" w:type="dxa"/>
            <w:vAlign w:val="center"/>
          </w:tcPr>
          <w:p w14:paraId="095AC1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职责分工</w:t>
            </w:r>
          </w:p>
        </w:tc>
      </w:tr>
      <w:tr w14:paraId="21CD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321CF4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1</w:t>
            </w:r>
          </w:p>
        </w:tc>
        <w:tc>
          <w:tcPr>
            <w:tcW w:w="1011" w:type="dxa"/>
            <w:vAlign w:val="center"/>
          </w:tcPr>
          <w:p w14:paraId="03D20A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rPr>
            </w:pPr>
            <w:r>
              <w:rPr>
                <w:rStyle w:val="19"/>
                <w:rFonts w:hint="eastAsia" w:ascii="方正仿宋_GB2312" w:hAnsi="方正仿宋_GB2312" w:eastAsia="方正仿宋_GB2312" w:cs="方正仿宋_GB2312"/>
                <w:b w:val="0"/>
                <w:bCs w:val="0"/>
                <w:i w:val="0"/>
                <w:iCs w:val="0"/>
                <w:caps w:val="0"/>
                <w:color w:val="auto"/>
                <w:spacing w:val="8"/>
                <w:sz w:val="21"/>
                <w:szCs w:val="21"/>
                <w:highlight w:val="none"/>
                <w:shd w:val="clear" w:fill="FFFFFF"/>
                <w:vertAlign w:val="baseline"/>
              </w:rPr>
              <w:t>艾渊</w:t>
            </w:r>
          </w:p>
        </w:tc>
        <w:tc>
          <w:tcPr>
            <w:tcW w:w="2277" w:type="dxa"/>
            <w:vAlign w:val="center"/>
          </w:tcPr>
          <w:p w14:paraId="7647CF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rPr>
            </w:pPr>
            <w:r>
              <w:rPr>
                <w:rFonts w:hint="eastAsia" w:ascii="方正仿宋_GB2312" w:hAnsi="方正仿宋_GB2312" w:eastAsia="方正仿宋_GB2312" w:cs="方正仿宋_GB2312"/>
                <w:b w:val="0"/>
                <w:bCs w:val="0"/>
                <w:color w:val="auto"/>
                <w:sz w:val="21"/>
                <w:szCs w:val="21"/>
                <w:highlight w:val="none"/>
              </w:rPr>
              <w:t>南方电网数字电网集团有限公司计量中心</w:t>
            </w:r>
          </w:p>
        </w:tc>
        <w:tc>
          <w:tcPr>
            <w:tcW w:w="4306" w:type="dxa"/>
            <w:vAlign w:val="top"/>
          </w:tcPr>
          <w:p w14:paraId="15EBD8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2312" w:hAnsi="方正仿宋_GB2312" w:eastAsia="方正仿宋_GB2312" w:cs="方正仿宋_GB2312"/>
                <w:b w:val="0"/>
                <w:bCs w:val="0"/>
                <w:color w:val="auto"/>
                <w:sz w:val="21"/>
                <w:szCs w:val="21"/>
                <w:highlight w:val="none"/>
                <w:vertAlign w:val="baseline"/>
                <w:lang w:eastAsia="zh-CN"/>
              </w:rPr>
            </w:pPr>
            <w:r>
              <w:rPr>
                <w:rFonts w:hint="eastAsia" w:ascii="方正仿宋_GB2312" w:hAnsi="方正仿宋_GB2312" w:eastAsia="方正仿宋_GB2312" w:cs="方正仿宋_GB2312"/>
                <w:b w:val="0"/>
                <w:bCs w:val="0"/>
                <w:color w:val="auto"/>
                <w:sz w:val="21"/>
                <w:szCs w:val="21"/>
                <w:highlight w:val="none"/>
              </w:rPr>
              <w:t>负责标准整体架构设计、第1章“范围”、第2章“规范性引用文件”、第3章“术语和定义”、第4章“总体原则”的编写，以及全文的统稿和技术内容协调</w:t>
            </w:r>
            <w:r>
              <w:rPr>
                <w:rFonts w:hint="eastAsia" w:ascii="方正仿宋_GB2312" w:hAnsi="方正仿宋_GB2312" w:eastAsia="方正仿宋_GB2312" w:cs="方正仿宋_GB2312"/>
                <w:b w:val="0"/>
                <w:bCs w:val="0"/>
                <w:color w:val="auto"/>
                <w:sz w:val="21"/>
                <w:szCs w:val="21"/>
                <w:highlight w:val="none"/>
                <w:lang w:eastAsia="zh-CN"/>
              </w:rPr>
              <w:t>。</w:t>
            </w:r>
          </w:p>
        </w:tc>
      </w:tr>
      <w:tr w14:paraId="3016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1F56FB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2</w:t>
            </w:r>
          </w:p>
        </w:tc>
        <w:tc>
          <w:tcPr>
            <w:tcW w:w="1011" w:type="dxa"/>
            <w:vAlign w:val="center"/>
          </w:tcPr>
          <w:p w14:paraId="4FFB50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rPr>
            </w:pPr>
            <w:r>
              <w:rPr>
                <w:rStyle w:val="19"/>
                <w:rFonts w:hint="eastAsia" w:ascii="方正仿宋_GB2312" w:hAnsi="方正仿宋_GB2312" w:eastAsia="方正仿宋_GB2312" w:cs="方正仿宋_GB2312"/>
                <w:b w:val="0"/>
                <w:bCs w:val="0"/>
                <w:i w:val="0"/>
                <w:iCs w:val="0"/>
                <w:caps w:val="0"/>
                <w:color w:val="auto"/>
                <w:spacing w:val="8"/>
                <w:sz w:val="21"/>
                <w:szCs w:val="21"/>
                <w:highlight w:val="none"/>
                <w:shd w:val="clear" w:fill="FFFFFF"/>
                <w:vertAlign w:val="baseline"/>
              </w:rPr>
              <w:t>何珊</w:t>
            </w:r>
          </w:p>
        </w:tc>
        <w:tc>
          <w:tcPr>
            <w:tcW w:w="2277" w:type="dxa"/>
            <w:shd w:val="clear" w:color="auto" w:fill="auto"/>
            <w:vAlign w:val="center"/>
          </w:tcPr>
          <w:p w14:paraId="39923F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color w:val="000000"/>
                <w:kern w:val="2"/>
                <w:sz w:val="21"/>
                <w:szCs w:val="21"/>
                <w:highlight w:val="none"/>
                <w:lang w:val="en-US" w:eastAsia="zh-CN" w:bidi="ar-SA"/>
              </w:rPr>
            </w:pPr>
            <w:r>
              <w:rPr>
                <w:rFonts w:hint="eastAsia" w:ascii="方正仿宋_GB2312" w:hAnsi="方正仿宋_GB2312" w:eastAsia="方正仿宋_GB2312" w:cs="方正仿宋_GB2312"/>
                <w:color w:val="000000"/>
                <w:sz w:val="21"/>
                <w:szCs w:val="21"/>
                <w:highlight w:val="none"/>
              </w:rPr>
              <w:t>哈尔滨电工仪表研究所有限公司</w:t>
            </w:r>
          </w:p>
        </w:tc>
        <w:tc>
          <w:tcPr>
            <w:tcW w:w="4306" w:type="dxa"/>
            <w:vAlign w:val="top"/>
          </w:tcPr>
          <w:p w14:paraId="038B8AD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2312" w:hAnsi="方正仿宋_GB2312" w:eastAsia="方正仿宋_GB2312" w:cs="方正仿宋_GB2312"/>
                <w:b w:val="0"/>
                <w:bCs w:val="0"/>
                <w:color w:val="auto"/>
                <w:sz w:val="21"/>
                <w:szCs w:val="21"/>
                <w:highlight w:val="none"/>
                <w:vertAlign w:val="baseline"/>
                <w:lang w:eastAsia="zh-CN"/>
              </w:rPr>
            </w:pPr>
            <w:r>
              <w:rPr>
                <w:rFonts w:hint="eastAsia" w:ascii="方正仿宋_GB2312" w:hAnsi="方正仿宋_GB2312" w:eastAsia="方正仿宋_GB2312" w:cs="方正仿宋_GB2312"/>
                <w:b w:val="0"/>
                <w:bCs w:val="0"/>
                <w:color w:val="auto"/>
                <w:sz w:val="21"/>
                <w:szCs w:val="21"/>
                <w:highlight w:val="none"/>
              </w:rPr>
              <w:t>负责标准编写工作的总体组织协调、进度管理，参与第4章“总体原则”、第5章“需考虑因素”中5.1节“图数据库通用类型”的编写</w:t>
            </w:r>
            <w:r>
              <w:rPr>
                <w:rFonts w:hint="eastAsia" w:ascii="方正仿宋_GB2312" w:hAnsi="方正仿宋_GB2312" w:eastAsia="方正仿宋_GB2312" w:cs="方正仿宋_GB2312"/>
                <w:b w:val="0"/>
                <w:bCs w:val="0"/>
                <w:color w:val="auto"/>
                <w:sz w:val="21"/>
                <w:szCs w:val="21"/>
                <w:highlight w:val="none"/>
                <w:lang w:eastAsia="zh-CN"/>
              </w:rPr>
              <w:t>。</w:t>
            </w:r>
          </w:p>
        </w:tc>
      </w:tr>
      <w:tr w14:paraId="4125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0A58F0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3</w:t>
            </w:r>
          </w:p>
        </w:tc>
        <w:tc>
          <w:tcPr>
            <w:tcW w:w="1011" w:type="dxa"/>
            <w:vAlign w:val="center"/>
          </w:tcPr>
          <w:p w14:paraId="7C3F78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_GB2312" w:hAnsi="方正仿宋_GB2312" w:eastAsia="方正仿宋_GB2312" w:cs="方正仿宋_GB2312"/>
                <w:b w:val="0"/>
                <w:bCs w:val="0"/>
                <w:color w:val="auto"/>
                <w:sz w:val="21"/>
                <w:szCs w:val="21"/>
                <w:highlight w:val="none"/>
                <w:vertAlign w:val="baseline"/>
                <w:lang w:val="en-US" w:eastAsia="zh-CN"/>
              </w:rPr>
            </w:pPr>
            <w:r>
              <w:rPr>
                <w:rStyle w:val="19"/>
                <w:rFonts w:hint="eastAsia" w:ascii="方正仿宋_GB2312" w:hAnsi="方正仿宋_GB2312" w:eastAsia="方正仿宋_GB2312" w:cs="方正仿宋_GB2312"/>
                <w:b w:val="0"/>
                <w:bCs w:val="0"/>
                <w:i w:val="0"/>
                <w:iCs w:val="0"/>
                <w:caps w:val="0"/>
                <w:color w:val="auto"/>
                <w:spacing w:val="8"/>
                <w:sz w:val="21"/>
                <w:szCs w:val="21"/>
                <w:highlight w:val="none"/>
                <w:shd w:val="clear" w:fill="FFFFFF"/>
                <w:vertAlign w:val="baseline"/>
              </w:rPr>
              <w:t>钟磊</w:t>
            </w:r>
          </w:p>
        </w:tc>
        <w:tc>
          <w:tcPr>
            <w:tcW w:w="2277" w:type="dxa"/>
            <w:shd w:val="clear" w:color="auto" w:fill="auto"/>
            <w:vAlign w:val="center"/>
          </w:tcPr>
          <w:p w14:paraId="23A50C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color w:val="000000"/>
                <w:kern w:val="2"/>
                <w:sz w:val="21"/>
                <w:szCs w:val="21"/>
                <w:highlight w:val="none"/>
                <w:lang w:val="en-US" w:eastAsia="zh-CN" w:bidi="ar-SA"/>
              </w:rPr>
            </w:pPr>
            <w:r>
              <w:rPr>
                <w:rFonts w:hint="eastAsia" w:ascii="方正仿宋_GB2312" w:hAnsi="方正仿宋_GB2312" w:eastAsia="方正仿宋_GB2312" w:cs="方正仿宋_GB2312"/>
                <w:b w:val="0"/>
                <w:bCs w:val="0"/>
                <w:color w:val="auto"/>
                <w:sz w:val="21"/>
                <w:szCs w:val="21"/>
                <w:highlight w:val="none"/>
              </w:rPr>
              <w:t>海南电网有限责任公司电能计量中心</w:t>
            </w:r>
          </w:p>
        </w:tc>
        <w:tc>
          <w:tcPr>
            <w:tcW w:w="4306" w:type="dxa"/>
            <w:vAlign w:val="top"/>
          </w:tcPr>
          <w:p w14:paraId="59A45EE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2312" w:hAnsi="方正仿宋_GB2312" w:eastAsia="方正仿宋_GB2312" w:cs="方正仿宋_GB2312"/>
                <w:b w:val="0"/>
                <w:bCs w:val="0"/>
                <w:color w:val="auto"/>
                <w:sz w:val="21"/>
                <w:szCs w:val="21"/>
                <w:highlight w:val="none"/>
                <w:vertAlign w:val="baseline"/>
                <w:lang w:eastAsia="zh-CN"/>
              </w:rPr>
            </w:pPr>
            <w:r>
              <w:rPr>
                <w:rFonts w:hint="eastAsia" w:ascii="方正仿宋_GB2312" w:hAnsi="方正仿宋_GB2312" w:eastAsia="方正仿宋_GB2312" w:cs="方正仿宋_GB2312"/>
                <w:b w:val="0"/>
                <w:bCs w:val="0"/>
                <w:color w:val="auto"/>
                <w:sz w:val="21"/>
                <w:szCs w:val="21"/>
                <w:highlight w:val="none"/>
              </w:rPr>
              <w:t>负责第5章“需考虑因素”中5.2节“客户域”的节点清单、域内边清单及跨域关联边清单的编写</w:t>
            </w:r>
            <w:r>
              <w:rPr>
                <w:rFonts w:hint="eastAsia" w:ascii="方正仿宋_GB2312" w:hAnsi="方正仿宋_GB2312" w:eastAsia="方正仿宋_GB2312" w:cs="方正仿宋_GB2312"/>
                <w:b w:val="0"/>
                <w:bCs w:val="0"/>
                <w:color w:val="auto"/>
                <w:sz w:val="21"/>
                <w:szCs w:val="21"/>
                <w:highlight w:val="none"/>
                <w:lang w:eastAsia="zh-CN"/>
              </w:rPr>
              <w:t>。</w:t>
            </w:r>
          </w:p>
        </w:tc>
      </w:tr>
      <w:tr w14:paraId="6B19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5444DA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4</w:t>
            </w:r>
          </w:p>
        </w:tc>
        <w:tc>
          <w:tcPr>
            <w:tcW w:w="1011" w:type="dxa"/>
            <w:vAlign w:val="center"/>
          </w:tcPr>
          <w:p w14:paraId="4DDD31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rPr>
            </w:pPr>
            <w:r>
              <w:rPr>
                <w:rStyle w:val="19"/>
                <w:rFonts w:hint="eastAsia" w:ascii="方正仿宋_GB2312" w:hAnsi="方正仿宋_GB2312" w:eastAsia="方正仿宋_GB2312" w:cs="方正仿宋_GB2312"/>
                <w:b w:val="0"/>
                <w:bCs w:val="0"/>
                <w:i w:val="0"/>
                <w:iCs w:val="0"/>
                <w:caps w:val="0"/>
                <w:color w:val="auto"/>
                <w:spacing w:val="8"/>
                <w:sz w:val="21"/>
                <w:szCs w:val="21"/>
                <w:highlight w:val="none"/>
                <w:shd w:val="clear" w:fill="FFFFFF"/>
                <w:vertAlign w:val="baseline"/>
              </w:rPr>
              <w:t>肖胜荣</w:t>
            </w:r>
          </w:p>
        </w:tc>
        <w:tc>
          <w:tcPr>
            <w:tcW w:w="2277" w:type="dxa"/>
            <w:vAlign w:val="center"/>
          </w:tcPr>
          <w:p w14:paraId="0A1835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color w:val="000000"/>
                <w:sz w:val="21"/>
                <w:szCs w:val="21"/>
                <w:highlight w:val="none"/>
              </w:rPr>
            </w:pPr>
            <w:r>
              <w:rPr>
                <w:rFonts w:hint="eastAsia" w:ascii="方正仿宋_GB2312" w:hAnsi="方正仿宋_GB2312" w:eastAsia="方正仿宋_GB2312" w:cs="方正仿宋_GB2312"/>
                <w:color w:val="000000"/>
                <w:sz w:val="21"/>
                <w:szCs w:val="21"/>
                <w:highlight w:val="none"/>
              </w:rPr>
              <w:t>江苏林洋能源股份有限公司</w:t>
            </w:r>
          </w:p>
        </w:tc>
        <w:tc>
          <w:tcPr>
            <w:tcW w:w="4306" w:type="dxa"/>
            <w:vAlign w:val="top"/>
          </w:tcPr>
          <w:p w14:paraId="26EEE7A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2312" w:hAnsi="方正仿宋_GB2312" w:eastAsia="方正仿宋_GB2312" w:cs="方正仿宋_GB2312"/>
                <w:b w:val="0"/>
                <w:bCs w:val="0"/>
                <w:color w:val="auto"/>
                <w:sz w:val="21"/>
                <w:szCs w:val="21"/>
                <w:highlight w:val="none"/>
                <w:vertAlign w:val="baseline"/>
                <w:lang w:eastAsia="zh-CN"/>
              </w:rPr>
            </w:pPr>
            <w:r>
              <w:rPr>
                <w:rFonts w:hint="eastAsia" w:ascii="方正仿宋_GB2312" w:hAnsi="方正仿宋_GB2312" w:eastAsia="方正仿宋_GB2312" w:cs="方正仿宋_GB2312"/>
                <w:b w:val="0"/>
                <w:bCs w:val="0"/>
                <w:color w:val="auto"/>
                <w:sz w:val="21"/>
                <w:szCs w:val="21"/>
                <w:highlight w:val="none"/>
              </w:rPr>
              <w:t>负责第5章“需考虑因素”中5.3节“电网域”的节点清单、域内边清单及跨域关联边清单的编写</w:t>
            </w:r>
            <w:r>
              <w:rPr>
                <w:rFonts w:hint="eastAsia" w:ascii="方正仿宋_GB2312" w:hAnsi="方正仿宋_GB2312" w:eastAsia="方正仿宋_GB2312" w:cs="方正仿宋_GB2312"/>
                <w:b w:val="0"/>
                <w:bCs w:val="0"/>
                <w:color w:val="auto"/>
                <w:sz w:val="21"/>
                <w:szCs w:val="21"/>
                <w:highlight w:val="none"/>
                <w:lang w:eastAsia="zh-CN"/>
              </w:rPr>
              <w:t>。</w:t>
            </w:r>
          </w:p>
        </w:tc>
      </w:tr>
      <w:tr w14:paraId="295D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1E50EC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5</w:t>
            </w:r>
          </w:p>
        </w:tc>
        <w:tc>
          <w:tcPr>
            <w:tcW w:w="1011" w:type="dxa"/>
            <w:vAlign w:val="center"/>
          </w:tcPr>
          <w:p w14:paraId="50B743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Style w:val="19"/>
                <w:rFonts w:hint="eastAsia" w:ascii="方正仿宋_GB2312" w:hAnsi="方正仿宋_GB2312" w:eastAsia="方正仿宋_GB2312" w:cs="方正仿宋_GB2312"/>
                <w:b w:val="0"/>
                <w:bCs w:val="0"/>
                <w:i w:val="0"/>
                <w:iCs w:val="0"/>
                <w:caps w:val="0"/>
                <w:color w:val="auto"/>
                <w:spacing w:val="8"/>
                <w:sz w:val="21"/>
                <w:szCs w:val="21"/>
                <w:highlight w:val="none"/>
                <w:shd w:val="clear" w:fill="FFFFFF"/>
                <w:vertAlign w:val="baseline"/>
              </w:rPr>
              <w:t>李克光</w:t>
            </w:r>
          </w:p>
        </w:tc>
        <w:tc>
          <w:tcPr>
            <w:tcW w:w="2277" w:type="dxa"/>
            <w:vAlign w:val="center"/>
          </w:tcPr>
          <w:p w14:paraId="4B2FD2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color w:val="000000"/>
                <w:sz w:val="21"/>
                <w:szCs w:val="21"/>
                <w:highlight w:val="none"/>
              </w:rPr>
            </w:pPr>
            <w:r>
              <w:rPr>
                <w:rFonts w:hint="eastAsia" w:ascii="方正仿宋_GB2312" w:hAnsi="方正仿宋_GB2312" w:eastAsia="方正仿宋_GB2312" w:cs="方正仿宋_GB2312"/>
                <w:color w:val="000000"/>
                <w:sz w:val="21"/>
                <w:szCs w:val="21"/>
                <w:highlight w:val="none"/>
              </w:rPr>
              <w:t>深圳市思达仪表有限公司</w:t>
            </w:r>
          </w:p>
        </w:tc>
        <w:tc>
          <w:tcPr>
            <w:tcW w:w="4306" w:type="dxa"/>
            <w:vAlign w:val="top"/>
          </w:tcPr>
          <w:p w14:paraId="1DD5CF0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2312" w:hAnsi="方正仿宋_GB2312" w:eastAsia="方正仿宋_GB2312" w:cs="方正仿宋_GB2312"/>
                <w:b w:val="0"/>
                <w:bCs w:val="0"/>
                <w:color w:val="auto"/>
                <w:sz w:val="21"/>
                <w:szCs w:val="21"/>
                <w:highlight w:val="none"/>
                <w:lang w:eastAsia="zh-CN"/>
              </w:rPr>
            </w:pPr>
            <w:r>
              <w:rPr>
                <w:rFonts w:hint="eastAsia" w:ascii="方正仿宋_GB2312" w:hAnsi="方正仿宋_GB2312" w:eastAsia="方正仿宋_GB2312" w:cs="方正仿宋_GB2312"/>
                <w:b w:val="0"/>
                <w:bCs w:val="0"/>
                <w:color w:val="auto"/>
                <w:sz w:val="21"/>
                <w:szCs w:val="21"/>
                <w:highlight w:val="none"/>
              </w:rPr>
              <w:t>负责第5章“需考虑因素”中5.4节“计量设备域”的节点清单、域内边清单及跨域关联边清单的编写</w:t>
            </w:r>
            <w:r>
              <w:rPr>
                <w:rFonts w:hint="eastAsia" w:ascii="方正仿宋_GB2312" w:hAnsi="方正仿宋_GB2312" w:eastAsia="方正仿宋_GB2312" w:cs="方正仿宋_GB2312"/>
                <w:b w:val="0"/>
                <w:bCs w:val="0"/>
                <w:color w:val="auto"/>
                <w:sz w:val="21"/>
                <w:szCs w:val="21"/>
                <w:highlight w:val="none"/>
                <w:lang w:eastAsia="zh-CN"/>
              </w:rPr>
              <w:t>。</w:t>
            </w:r>
          </w:p>
        </w:tc>
      </w:tr>
      <w:tr w14:paraId="4319B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1F3D90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6</w:t>
            </w:r>
          </w:p>
        </w:tc>
        <w:tc>
          <w:tcPr>
            <w:tcW w:w="1011" w:type="dxa"/>
            <w:vAlign w:val="center"/>
          </w:tcPr>
          <w:p w14:paraId="2D5925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Style w:val="19"/>
                <w:rFonts w:hint="eastAsia" w:ascii="方正仿宋_GB2312" w:hAnsi="方正仿宋_GB2312" w:eastAsia="方正仿宋_GB2312" w:cs="方正仿宋_GB2312"/>
                <w:b w:val="0"/>
                <w:bCs w:val="0"/>
                <w:i w:val="0"/>
                <w:iCs w:val="0"/>
                <w:caps w:val="0"/>
                <w:color w:val="auto"/>
                <w:spacing w:val="8"/>
                <w:sz w:val="21"/>
                <w:szCs w:val="21"/>
                <w:highlight w:val="none"/>
                <w:shd w:val="clear" w:fill="FFFFFF"/>
                <w:vertAlign w:val="baseline"/>
              </w:rPr>
              <w:t>杨晓华</w:t>
            </w:r>
          </w:p>
        </w:tc>
        <w:tc>
          <w:tcPr>
            <w:tcW w:w="2277" w:type="dxa"/>
            <w:vAlign w:val="center"/>
          </w:tcPr>
          <w:p w14:paraId="2AF8CF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color w:val="000000"/>
                <w:sz w:val="21"/>
                <w:szCs w:val="21"/>
                <w:highlight w:val="none"/>
              </w:rPr>
            </w:pPr>
            <w:r>
              <w:rPr>
                <w:rFonts w:hint="eastAsia" w:ascii="方正仿宋_GB2312" w:hAnsi="方正仿宋_GB2312" w:eastAsia="方正仿宋_GB2312" w:cs="方正仿宋_GB2312"/>
                <w:color w:val="000000"/>
                <w:sz w:val="21"/>
                <w:szCs w:val="21"/>
                <w:highlight w:val="none"/>
              </w:rPr>
              <w:t>云南电网公司计量中心</w:t>
            </w:r>
          </w:p>
        </w:tc>
        <w:tc>
          <w:tcPr>
            <w:tcW w:w="4306" w:type="dxa"/>
            <w:vAlign w:val="top"/>
          </w:tcPr>
          <w:p w14:paraId="6348633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2312" w:hAnsi="方正仿宋_GB2312" w:eastAsia="方正仿宋_GB2312" w:cs="方正仿宋_GB2312"/>
                <w:b w:val="0"/>
                <w:bCs w:val="0"/>
                <w:color w:val="auto"/>
                <w:sz w:val="21"/>
                <w:szCs w:val="21"/>
                <w:highlight w:val="none"/>
                <w:vertAlign w:val="baseline"/>
                <w:lang w:eastAsia="zh-CN"/>
              </w:rPr>
            </w:pPr>
            <w:r>
              <w:rPr>
                <w:rFonts w:hint="eastAsia" w:ascii="方正仿宋_GB2312" w:hAnsi="方正仿宋_GB2312" w:eastAsia="方正仿宋_GB2312" w:cs="方正仿宋_GB2312"/>
                <w:b w:val="0"/>
                <w:bCs w:val="0"/>
                <w:color w:val="auto"/>
                <w:sz w:val="21"/>
                <w:szCs w:val="21"/>
                <w:highlight w:val="none"/>
              </w:rPr>
              <w:t>负责第5章“需考虑因素”中5.5节“功能域”的节点清单、域内边清单及跨域关联边清单的编写</w:t>
            </w:r>
            <w:r>
              <w:rPr>
                <w:rFonts w:hint="eastAsia" w:ascii="方正仿宋_GB2312" w:hAnsi="方正仿宋_GB2312" w:eastAsia="方正仿宋_GB2312" w:cs="方正仿宋_GB2312"/>
                <w:b w:val="0"/>
                <w:bCs w:val="0"/>
                <w:color w:val="auto"/>
                <w:sz w:val="21"/>
                <w:szCs w:val="21"/>
                <w:highlight w:val="none"/>
                <w:lang w:eastAsia="zh-CN"/>
              </w:rPr>
              <w:t>。</w:t>
            </w:r>
          </w:p>
        </w:tc>
      </w:tr>
      <w:tr w14:paraId="7335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4031B2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7</w:t>
            </w:r>
          </w:p>
        </w:tc>
        <w:tc>
          <w:tcPr>
            <w:tcW w:w="1011" w:type="dxa"/>
            <w:shd w:val="clear" w:color="auto" w:fill="auto"/>
            <w:vAlign w:val="center"/>
          </w:tcPr>
          <w:p w14:paraId="02176F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kern w:val="2"/>
                <w:sz w:val="21"/>
                <w:szCs w:val="21"/>
                <w:highlight w:val="none"/>
                <w:vertAlign w:val="baseline"/>
                <w:lang w:val="en-US" w:eastAsia="zh-CN" w:bidi="ar-SA"/>
              </w:rPr>
            </w:pPr>
            <w:r>
              <w:rPr>
                <w:rStyle w:val="19"/>
                <w:rFonts w:hint="eastAsia" w:ascii="方正仿宋_GB2312" w:hAnsi="方正仿宋_GB2312" w:eastAsia="方正仿宋_GB2312" w:cs="方正仿宋_GB2312"/>
                <w:b w:val="0"/>
                <w:bCs w:val="0"/>
                <w:i w:val="0"/>
                <w:iCs w:val="0"/>
                <w:caps w:val="0"/>
                <w:color w:val="auto"/>
                <w:spacing w:val="8"/>
                <w:sz w:val="21"/>
                <w:szCs w:val="21"/>
                <w:highlight w:val="none"/>
                <w:shd w:val="clear" w:fill="FFFFFF"/>
                <w:vertAlign w:val="baseline"/>
              </w:rPr>
              <w:t>周政雷</w:t>
            </w:r>
          </w:p>
        </w:tc>
        <w:tc>
          <w:tcPr>
            <w:tcW w:w="2277" w:type="dxa"/>
            <w:shd w:val="clear" w:color="auto" w:fill="auto"/>
            <w:vAlign w:val="center"/>
          </w:tcPr>
          <w:p w14:paraId="551867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color w:val="000000"/>
                <w:kern w:val="2"/>
                <w:sz w:val="21"/>
                <w:szCs w:val="21"/>
                <w:highlight w:val="none"/>
                <w:lang w:val="en-US" w:eastAsia="zh-CN" w:bidi="ar-SA"/>
              </w:rPr>
            </w:pPr>
            <w:r>
              <w:rPr>
                <w:rFonts w:hint="eastAsia" w:ascii="方正仿宋_GB2312" w:hAnsi="方正仿宋_GB2312" w:eastAsia="方正仿宋_GB2312" w:cs="方正仿宋_GB2312"/>
                <w:color w:val="000000"/>
                <w:sz w:val="21"/>
                <w:szCs w:val="21"/>
                <w:highlight w:val="none"/>
              </w:rPr>
              <w:t>广西电网公司计量中心</w:t>
            </w:r>
          </w:p>
        </w:tc>
        <w:tc>
          <w:tcPr>
            <w:tcW w:w="4306" w:type="dxa"/>
            <w:shd w:val="clear" w:color="auto" w:fill="auto"/>
            <w:vAlign w:val="top"/>
          </w:tcPr>
          <w:p w14:paraId="4727094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2312" w:hAnsi="方正仿宋_GB2312" w:eastAsia="方正仿宋_GB2312" w:cs="方正仿宋_GB2312"/>
                <w:b w:val="0"/>
                <w:bCs w:val="0"/>
                <w:color w:val="auto"/>
                <w:kern w:val="2"/>
                <w:sz w:val="21"/>
                <w:szCs w:val="21"/>
                <w:highlight w:val="none"/>
                <w:vertAlign w:val="baseline"/>
                <w:lang w:val="en-US" w:eastAsia="zh-CN" w:bidi="ar-SA"/>
              </w:rPr>
            </w:pPr>
            <w:r>
              <w:rPr>
                <w:rFonts w:hint="eastAsia" w:ascii="方正仿宋_GB2312" w:hAnsi="方正仿宋_GB2312" w:eastAsia="方正仿宋_GB2312" w:cs="方正仿宋_GB2312"/>
                <w:b w:val="0"/>
                <w:bCs w:val="0"/>
                <w:color w:val="auto"/>
                <w:sz w:val="21"/>
                <w:szCs w:val="21"/>
                <w:highlight w:val="none"/>
              </w:rPr>
              <w:t>负责附录A“典型Cypher查询示例”的编写，参与图1至图7各域节点关系图及跨域关联图的编制</w:t>
            </w:r>
            <w:r>
              <w:rPr>
                <w:rFonts w:hint="eastAsia" w:ascii="方正仿宋_GB2312" w:hAnsi="方正仿宋_GB2312" w:eastAsia="方正仿宋_GB2312" w:cs="方正仿宋_GB2312"/>
                <w:b w:val="0"/>
                <w:bCs w:val="0"/>
                <w:color w:val="auto"/>
                <w:sz w:val="21"/>
                <w:szCs w:val="21"/>
                <w:highlight w:val="none"/>
                <w:lang w:eastAsia="zh-CN"/>
              </w:rPr>
              <w:t>。</w:t>
            </w:r>
          </w:p>
        </w:tc>
      </w:tr>
      <w:tr w14:paraId="317C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51117C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8</w:t>
            </w:r>
          </w:p>
        </w:tc>
        <w:tc>
          <w:tcPr>
            <w:tcW w:w="1011" w:type="dxa"/>
            <w:vAlign w:val="center"/>
          </w:tcPr>
          <w:p w14:paraId="2B5D34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rPr>
            </w:pPr>
            <w:r>
              <w:rPr>
                <w:rStyle w:val="19"/>
                <w:rFonts w:hint="eastAsia" w:ascii="方正仿宋_GB2312" w:hAnsi="方正仿宋_GB2312" w:eastAsia="方正仿宋_GB2312" w:cs="方正仿宋_GB2312"/>
                <w:b w:val="0"/>
                <w:bCs w:val="0"/>
                <w:i w:val="0"/>
                <w:iCs w:val="0"/>
                <w:caps w:val="0"/>
                <w:color w:val="auto"/>
                <w:spacing w:val="8"/>
                <w:sz w:val="21"/>
                <w:szCs w:val="21"/>
                <w:highlight w:val="none"/>
                <w:shd w:val="clear" w:fill="FFFFFF"/>
                <w:vertAlign w:val="baseline"/>
              </w:rPr>
              <w:t>丁乔乐</w:t>
            </w:r>
          </w:p>
        </w:tc>
        <w:tc>
          <w:tcPr>
            <w:tcW w:w="2277" w:type="dxa"/>
            <w:vAlign w:val="center"/>
          </w:tcPr>
          <w:p w14:paraId="05B07B5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rPr>
            </w:pPr>
            <w:r>
              <w:rPr>
                <w:rFonts w:hint="eastAsia" w:ascii="方正仿宋_GB2312" w:hAnsi="方正仿宋_GB2312" w:eastAsia="方正仿宋_GB2312" w:cs="方正仿宋_GB2312"/>
                <w:color w:val="000000"/>
                <w:sz w:val="21"/>
                <w:szCs w:val="21"/>
                <w:highlight w:val="none"/>
              </w:rPr>
              <w:t>南京能瑞自动化设备股份有限公司</w:t>
            </w:r>
          </w:p>
        </w:tc>
        <w:tc>
          <w:tcPr>
            <w:tcW w:w="4306" w:type="dxa"/>
            <w:vAlign w:val="top"/>
          </w:tcPr>
          <w:p w14:paraId="3621A43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2312" w:hAnsi="方正仿宋_GB2312" w:eastAsia="方正仿宋_GB2312" w:cs="方正仿宋_GB2312"/>
                <w:b w:val="0"/>
                <w:bCs w:val="0"/>
                <w:color w:val="auto"/>
                <w:sz w:val="21"/>
                <w:szCs w:val="21"/>
                <w:highlight w:val="none"/>
                <w:vertAlign w:val="baseline"/>
                <w:lang w:eastAsia="zh-CN"/>
              </w:rPr>
            </w:pPr>
            <w:r>
              <w:rPr>
                <w:rFonts w:hint="eastAsia" w:ascii="方正仿宋_GB2312" w:hAnsi="方正仿宋_GB2312" w:eastAsia="方正仿宋_GB2312" w:cs="方正仿宋_GB2312"/>
                <w:b w:val="0"/>
                <w:bCs w:val="0"/>
                <w:color w:val="auto"/>
                <w:sz w:val="21"/>
                <w:szCs w:val="21"/>
                <w:highlight w:val="none"/>
              </w:rPr>
              <w:t>负责各业务域节点清单、边清单数据来源的梳理与核对，参与第3章“术语和定义”的编写</w:t>
            </w:r>
            <w:r>
              <w:rPr>
                <w:rFonts w:hint="eastAsia" w:ascii="方正仿宋_GB2312" w:hAnsi="方正仿宋_GB2312" w:eastAsia="方正仿宋_GB2312" w:cs="方正仿宋_GB2312"/>
                <w:b w:val="0"/>
                <w:bCs w:val="0"/>
                <w:color w:val="auto"/>
                <w:sz w:val="21"/>
                <w:szCs w:val="21"/>
                <w:highlight w:val="none"/>
                <w:lang w:eastAsia="zh-CN"/>
              </w:rPr>
              <w:t>。</w:t>
            </w:r>
          </w:p>
        </w:tc>
      </w:tr>
      <w:tr w14:paraId="6FAD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6F1D84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lang w:val="en-US" w:eastAsia="zh-CN"/>
              </w:rPr>
            </w:pPr>
            <w:r>
              <w:rPr>
                <w:rFonts w:hint="eastAsia" w:ascii="方正仿宋_GB2312" w:hAnsi="方正仿宋_GB2312" w:eastAsia="方正仿宋_GB2312" w:cs="方正仿宋_GB2312"/>
                <w:b w:val="0"/>
                <w:bCs w:val="0"/>
                <w:color w:val="auto"/>
                <w:sz w:val="21"/>
                <w:szCs w:val="21"/>
                <w:highlight w:val="none"/>
                <w:vertAlign w:val="baseline"/>
                <w:lang w:val="en-US" w:eastAsia="zh-CN"/>
              </w:rPr>
              <w:t>9</w:t>
            </w:r>
          </w:p>
        </w:tc>
        <w:tc>
          <w:tcPr>
            <w:tcW w:w="1011" w:type="dxa"/>
            <w:vAlign w:val="center"/>
          </w:tcPr>
          <w:p w14:paraId="34BBC7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rPr>
            </w:pPr>
            <w:r>
              <w:rPr>
                <w:rStyle w:val="19"/>
                <w:rFonts w:hint="eastAsia" w:ascii="方正仿宋_GB2312" w:hAnsi="方正仿宋_GB2312" w:eastAsia="方正仿宋_GB2312" w:cs="方正仿宋_GB2312"/>
                <w:b w:val="0"/>
                <w:bCs w:val="0"/>
                <w:i w:val="0"/>
                <w:iCs w:val="0"/>
                <w:caps w:val="0"/>
                <w:color w:val="auto"/>
                <w:spacing w:val="8"/>
                <w:sz w:val="21"/>
                <w:szCs w:val="21"/>
                <w:highlight w:val="none"/>
                <w:shd w:val="clear" w:fill="FFFFFF"/>
                <w:vertAlign w:val="baseline"/>
              </w:rPr>
              <w:t>杨茗</w:t>
            </w:r>
          </w:p>
        </w:tc>
        <w:tc>
          <w:tcPr>
            <w:tcW w:w="2277" w:type="dxa"/>
            <w:vAlign w:val="center"/>
          </w:tcPr>
          <w:p w14:paraId="42D8DC1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val="0"/>
                <w:bCs w:val="0"/>
                <w:color w:val="auto"/>
                <w:sz w:val="21"/>
                <w:szCs w:val="21"/>
                <w:highlight w:val="none"/>
                <w:vertAlign w:val="baseline"/>
              </w:rPr>
            </w:pPr>
            <w:r>
              <w:rPr>
                <w:rFonts w:hint="eastAsia" w:ascii="方正仿宋_GB2312" w:hAnsi="方正仿宋_GB2312" w:eastAsia="方正仿宋_GB2312" w:cs="方正仿宋_GB2312"/>
                <w:color w:val="000000"/>
                <w:sz w:val="21"/>
                <w:szCs w:val="21"/>
                <w:highlight w:val="none"/>
              </w:rPr>
              <w:t>云南电网计量中心</w:t>
            </w:r>
          </w:p>
        </w:tc>
        <w:tc>
          <w:tcPr>
            <w:tcW w:w="4306" w:type="dxa"/>
            <w:vAlign w:val="top"/>
          </w:tcPr>
          <w:p w14:paraId="0990A87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2312" w:hAnsi="方正仿宋_GB2312" w:eastAsia="方正仿宋_GB2312" w:cs="方正仿宋_GB2312"/>
                <w:b w:val="0"/>
                <w:bCs w:val="0"/>
                <w:color w:val="auto"/>
                <w:sz w:val="21"/>
                <w:szCs w:val="21"/>
                <w:highlight w:val="none"/>
                <w:vertAlign w:val="baseline"/>
                <w:lang w:eastAsia="zh-CN"/>
              </w:rPr>
            </w:pPr>
            <w:r>
              <w:rPr>
                <w:rFonts w:hint="eastAsia" w:ascii="方正仿宋_GB2312" w:hAnsi="方正仿宋_GB2312" w:eastAsia="方正仿宋_GB2312" w:cs="方正仿宋_GB2312"/>
                <w:b w:val="0"/>
                <w:bCs w:val="0"/>
                <w:color w:val="auto"/>
                <w:sz w:val="21"/>
                <w:szCs w:val="21"/>
                <w:highlight w:val="none"/>
              </w:rPr>
              <w:t>负责全文格式审查、参考文献核对，参与第4章“总体原则”的编写</w:t>
            </w:r>
            <w:r>
              <w:rPr>
                <w:rFonts w:hint="eastAsia" w:ascii="方正仿宋_GB2312" w:hAnsi="方正仿宋_GB2312" w:eastAsia="方正仿宋_GB2312" w:cs="方正仿宋_GB2312"/>
                <w:b w:val="0"/>
                <w:bCs w:val="0"/>
                <w:color w:val="auto"/>
                <w:sz w:val="21"/>
                <w:szCs w:val="21"/>
                <w:highlight w:val="none"/>
                <w:lang w:eastAsia="zh-CN"/>
              </w:rPr>
              <w:t>。</w:t>
            </w:r>
          </w:p>
        </w:tc>
      </w:tr>
    </w:tbl>
    <w:p w14:paraId="2024CA79">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二、  标准编制原则和主要技术内容确定的依据</w:t>
      </w:r>
    </w:p>
    <w:p w14:paraId="7F6D4888">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楷体_GB2312" w:hAnsi="方正楷体_GB2312" w:eastAsia="方正楷体_GB2312" w:cs="方正楷体_GB2312"/>
          <w:b w:val="0"/>
          <w:bCs w:val="0"/>
          <w:sz w:val="32"/>
          <w:szCs w:val="32"/>
          <w:lang w:val="en-US" w:eastAsia="zh-CN"/>
        </w:rPr>
      </w:pPr>
      <w:r>
        <w:rPr>
          <w:rFonts w:hint="eastAsia" w:ascii="方正楷体_GB2312" w:hAnsi="方正楷体_GB2312" w:eastAsia="方正楷体_GB2312" w:cs="方正楷体_GB2312"/>
          <w:b w:val="0"/>
          <w:bCs w:val="0"/>
          <w:sz w:val="32"/>
          <w:szCs w:val="32"/>
          <w:lang w:val="en-US" w:eastAsia="zh-CN"/>
        </w:rPr>
        <w:t>1.主要阐述标准制定或修订过程遵循的基本原则</w:t>
      </w:r>
    </w:p>
    <w:p w14:paraId="4D3FEA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default" w:ascii="宋体" w:hAnsi="宋体" w:eastAsia="宋体" w:cs="宋体"/>
          <w:sz w:val="24"/>
          <w:szCs w:val="24"/>
        </w:rPr>
        <w:t>本标准从实际应用出发，充分考虑了现有相关国家标准和行业标准。编制遵循“统一性、协调性、适用性、一致性、规范性”的原则，注重标准的可操作性，本标准按照GB/T 1.1—2020《标准化工作导则  第1部分：标准化文件的结构和起草规则》的规定进行编写和表述。</w:t>
      </w:r>
    </w:p>
    <w:p w14:paraId="10A30F7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方正楷体_GB2312" w:hAnsi="方正楷体_GB2312" w:eastAsia="方正楷体_GB2312" w:cs="方正楷体_GB2312"/>
          <w:b w:val="0"/>
          <w:bCs w:val="0"/>
          <w:kern w:val="0"/>
          <w:sz w:val="32"/>
          <w:szCs w:val="32"/>
          <w:lang w:val="en-US" w:eastAsia="zh-CN" w:bidi="ar-SA"/>
        </w:rPr>
      </w:pPr>
      <w:r>
        <w:rPr>
          <w:rFonts w:hint="eastAsia" w:ascii="方正楷体_GB2312" w:hAnsi="方正楷体_GB2312" w:eastAsia="方正楷体_GB2312" w:cs="方正楷体_GB2312"/>
          <w:b w:val="0"/>
          <w:bCs w:val="0"/>
          <w:kern w:val="0"/>
          <w:sz w:val="32"/>
          <w:szCs w:val="32"/>
          <w:lang w:val="en-US" w:eastAsia="zh-CN" w:bidi="ar-SA"/>
        </w:rPr>
        <w:t>2.标准主要技术内容的确定依据</w:t>
      </w:r>
    </w:p>
    <w:p w14:paraId="186E33E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rPr>
      </w:pPr>
      <w:r>
        <w:rPr>
          <w:rFonts w:hint="default" w:ascii="宋体" w:hAnsi="宋体" w:eastAsia="宋体" w:cs="宋体"/>
          <w:sz w:val="24"/>
          <w:szCs w:val="24"/>
        </w:rPr>
        <w:t>本标准为电力量测领域图数据模型构建提供指导建议，适用于基于图计算的电力量测数据模型构建。本标准主要技术内容的确定，充分考虑了电力量测业务的数据类型、数据规模、业务结构及应用场景特征，并依据相关国家标准确定：规范性引用文件引用了GB/T 45346—2025《信息技术图数据库管理系统技术要求》，图数据库通用类型参照该标准给出的图数据库管理系统数据类型确定，涵盖布尔型、整型、日期、日期时间、浮点、双精度浮点、字符串、二进制等12类数据类型；总体原则确立了适用性与语义明确、实体化与粒度合理、场景适配、可扩展灵活四项原则，并明确采用属性图模型作为图数据模型形态，以节点、关系（边）、标签和属性作为基本语义单元，关系具有方向性。</w:t>
      </w:r>
    </w:p>
    <w:p w14:paraId="4AD8E6C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rPr>
      </w:pPr>
      <w:r>
        <w:rPr>
          <w:rFonts w:hint="default" w:ascii="宋体" w:hAnsi="宋体" w:eastAsia="宋体" w:cs="宋体"/>
          <w:sz w:val="24"/>
          <w:szCs w:val="24"/>
        </w:rPr>
        <w:t>第5章“需考虑因素”中的节点清单和边清单，结合电力量测业务场景，对客户域、电网域、计量设备域、功能域四大核心业务域的实体对象及其业务关联关系进行了系统化梳理与规范化列示：客户域共11个节点、12条域内边和10条跨域关联边，电网域共10个节点、9条域内边和3条跨域关联边，计量设备域共24个节点、15条域内边和7条跨域关联边，功能域共5个节点、4条域内边，功能域当前暂无跨域关联边。节点和边的数据来源依据计量</w:t>
      </w:r>
      <w:r>
        <w:rPr>
          <w:rFonts w:hint="eastAsia" w:ascii="宋体" w:hAnsi="宋体" w:cs="宋体"/>
          <w:sz w:val="24"/>
          <w:szCs w:val="24"/>
          <w:lang w:val="en-US" w:eastAsia="zh-CN"/>
        </w:rPr>
        <w:t>自动化</w:t>
      </w:r>
      <w:r>
        <w:rPr>
          <w:rFonts w:hint="default" w:ascii="宋体" w:hAnsi="宋体" w:eastAsia="宋体" w:cs="宋体"/>
          <w:sz w:val="24"/>
          <w:szCs w:val="24"/>
        </w:rPr>
        <w:t>系统</w:t>
      </w:r>
      <w:r>
        <w:rPr>
          <w:rFonts w:hint="eastAsia" w:ascii="宋体" w:hAnsi="宋体" w:cs="宋体"/>
          <w:sz w:val="24"/>
          <w:szCs w:val="24"/>
          <w:lang w:eastAsia="zh-CN"/>
        </w:rPr>
        <w:t>、</w:t>
      </w:r>
      <w:r>
        <w:rPr>
          <w:rFonts w:hint="default" w:ascii="宋体" w:hAnsi="宋体" w:eastAsia="宋体" w:cs="宋体"/>
          <w:sz w:val="24"/>
          <w:szCs w:val="24"/>
        </w:rPr>
        <w:t>营销系统的业务实体和数据关联关系确定，实现了各业务对象间关联关系的标准化、显性化，支撑跨域数据的贯通查询与分析。附录A给出了典型Cypher查询示例，为模型的落地实施提供参考。</w:t>
      </w:r>
    </w:p>
    <w:p w14:paraId="3B85B2D9">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rPr>
        <w:t>三、主要试验（或验收）情况</w:t>
      </w:r>
    </w:p>
    <w:p w14:paraId="44C9A47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本文件不涉及任何</w:t>
      </w:r>
      <w:r>
        <w:rPr>
          <w:rFonts w:hint="eastAsia" w:ascii="宋体" w:hAnsi="宋体" w:eastAsia="宋体" w:cs="宋体"/>
          <w:sz w:val="24"/>
          <w:szCs w:val="24"/>
          <w:lang w:val="en-US" w:eastAsia="zh-CN"/>
        </w:rPr>
        <w:t>试验</w:t>
      </w:r>
      <w:r>
        <w:rPr>
          <w:rFonts w:hint="eastAsia" w:ascii="宋体" w:hAnsi="宋体" w:eastAsia="宋体" w:cs="宋体"/>
          <w:sz w:val="24"/>
          <w:szCs w:val="24"/>
        </w:rPr>
        <w:t>问题。</w:t>
      </w:r>
    </w:p>
    <w:p w14:paraId="0D3E9BD5">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四、 标准涉及专利情况</w:t>
      </w:r>
    </w:p>
    <w:p w14:paraId="3A8C254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本文件不涉及任何专利问题。</w:t>
      </w:r>
    </w:p>
    <w:p w14:paraId="49CF008C">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highlight w:val="none"/>
        </w:rPr>
      </w:pPr>
      <w:r>
        <w:rPr>
          <w:rFonts w:hint="eastAsia" w:ascii="方正黑体_GBK" w:hAnsi="方正黑体_GBK" w:eastAsia="方正黑体_GBK" w:cs="方正黑体_GBK"/>
          <w:b w:val="0"/>
          <w:bCs w:val="0"/>
          <w:sz w:val="32"/>
          <w:szCs w:val="32"/>
          <w:highlight w:val="none"/>
        </w:rPr>
        <w:t>五、 预期达到的社会效益、对产业发展的作用</w:t>
      </w:r>
    </w:p>
    <w:p w14:paraId="26C4128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标准提供了电力量测领域图数据模型构建的指导建议，适用于基于图计算的电力量测数据模型构建，可应用于电网企业以及相关电力数据服务、图数据库产品与数据治理服务提供单位开展电力量测数据的建模、治理与分析应用。</w:t>
      </w:r>
    </w:p>
    <w:p w14:paraId="0AC0725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社会效益：提升电力量测数据治理水平，释放数据要素价值。本标准通过统一电力量测领域图数据模型的构建方法，实现客户域、电网域、计量设备域、功能域数据的标准化建模与跨域贯通，有效解决电力量测数据分散、语义不一致、业务对象间关联关系隐性化等问题，支撑线损分析、负荷监测、客户全景画像、计量设备全生命周期管理等业务的开展，提升电力计量管理和客户服务水平。支撑新型电力系统建设，助力电网数字化转型。图数据模型能够直观表达电力业务对象之间的复杂关联关系，为电网拓扑分析、影响分析、路径分析等提供支撑，有助于深化电力数据共享应用，推动电网企业数字化转型，助力构建清洁低碳、安全充裕、经济高效的新型电力系统。</w:t>
      </w:r>
    </w:p>
    <w:p w14:paraId="09D98F5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标准对产业发展的作用：推动图数据库技术在电力行业落地应用，带动相关产业发展。本标准为图数据库产品、数据治理工具、电力数据分析应用等提供了领域化、可落地的建模依据，有助于降低电力量测图数据模型建设的实施成本和技术门槛，促进图计算技术在电力行业的推广应用；同时带动图数据库、数据治理、数据分析服务等上下游产业发展，促进电力数据产业生态的培育和繁荣。</w:t>
      </w:r>
    </w:p>
    <w:p w14:paraId="3958DAFA">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 xml:space="preserve">六、与国际、国外同类标准水平的对比情况 </w:t>
      </w:r>
    </w:p>
    <w:p w14:paraId="34E0A68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rPr>
      </w:pPr>
      <w:r>
        <w:rPr>
          <w:rFonts w:hint="default" w:ascii="宋体" w:hAnsi="宋体" w:eastAsia="宋体" w:cs="宋体"/>
          <w:sz w:val="24"/>
          <w:szCs w:val="24"/>
          <w:highlight w:val="none"/>
        </w:rPr>
        <w:t>当前，国际上图数据领域相关标准主要包括ISO/IEC 39075:2024《信息技术 数据库语言 GQL》以及业界通行的RDF/SPARQL、openCypher等图数据模型与图查询语言规范，主要规定了通用图数据模型和图查询语言的语法、语义</w:t>
      </w:r>
      <w:r>
        <w:rPr>
          <w:rFonts w:hint="default" w:ascii="宋体" w:hAnsi="宋体" w:eastAsia="宋体" w:cs="宋体"/>
          <w:sz w:val="24"/>
          <w:szCs w:val="24"/>
        </w:rPr>
        <w:t>；国内已发布GB/T 45346—2025《信息技术 图数据库管理系统技术要求》，规定了图数据库管理系统的通用技术要求。上述标准均为通用技术标准，未针对电力量测（电力计量）这一特定业务领域给出图数据模型构建的指导。</w:t>
      </w:r>
    </w:p>
    <w:p w14:paraId="6BAAB13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2312" w:cs="Times New Roman"/>
          <w:kern w:val="2"/>
          <w:sz w:val="32"/>
          <w:szCs w:val="32"/>
        </w:rPr>
      </w:pPr>
      <w:r>
        <w:rPr>
          <w:rFonts w:hint="default" w:ascii="宋体" w:hAnsi="宋体" w:eastAsia="宋体" w:cs="宋体"/>
          <w:sz w:val="24"/>
          <w:szCs w:val="24"/>
        </w:rPr>
        <w:t>目前国内外没有电力量测领域图数据模型构建相关的专项标准。本标准在数据类型定义等方面与GB/T</w:t>
      </w:r>
      <w:r>
        <w:rPr>
          <w:rFonts w:hint="eastAsia" w:ascii="宋体" w:hAnsi="宋体" w:eastAsia="宋体" w:cs="宋体"/>
          <w:sz w:val="24"/>
          <w:szCs w:val="24"/>
          <w:lang w:val="en-US" w:eastAsia="zh-CN"/>
        </w:rPr>
        <w:t xml:space="preserve"> </w:t>
      </w:r>
      <w:r>
        <w:rPr>
          <w:rFonts w:hint="default" w:ascii="宋体" w:hAnsi="宋体" w:eastAsia="宋体" w:cs="宋体"/>
          <w:sz w:val="24"/>
          <w:szCs w:val="24"/>
        </w:rPr>
        <w:t>45346—2025保持兼容，确保与国内图数据库管理系统的互操作性；同时，结合电力量测业务特点，给出了客户域、电网域、计量设备域、功能域四大业务域的节点清单、边清单及典型Cypher查询示例，将通用图数据库技术与电力量测业务深度融合，填补了国内外电力量测领域图数据模型构建标准方面的空白。本标准紧密结合我国电网数字化、智能化建设对电力数据贯通分析的实际需求，兼具技术前瞻性与工程适用性。</w:t>
      </w:r>
    </w:p>
    <w:p w14:paraId="4D18082C">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七、在标准体系中的位置，与现行相关法律、法规、规章及相关标准，特别是强制性标准的协调性</w:t>
      </w:r>
    </w:p>
    <w:p w14:paraId="1B92EFB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与相关技术领域的国家现行法律、法规和政策保持一致。与现有标准、制定中的标准没有矛盾。</w:t>
      </w:r>
    </w:p>
    <w:p w14:paraId="223D2E80">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八、标准性质的重大分歧意见的处理经过和依据</w:t>
      </w:r>
    </w:p>
    <w:p w14:paraId="7E631C4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无。</w:t>
      </w:r>
    </w:p>
    <w:p w14:paraId="1686E82E">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九、标准性质的建议说明</w:t>
      </w:r>
    </w:p>
    <w:p w14:paraId="428458A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本标准为推荐性标准，旨在为此类设备的检验提供规范性依据，但不强制执行。</w:t>
      </w:r>
    </w:p>
    <w:p w14:paraId="2D29BD64">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十、贯彻标准的要求和措施建议（包括组织措施、技术措施、过渡办法、实施日期等）</w:t>
      </w:r>
    </w:p>
    <w:p w14:paraId="1A0972B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无。</w:t>
      </w:r>
    </w:p>
    <w:p w14:paraId="0797CBCC">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十一、废止现行相关标准的建议</w:t>
      </w:r>
    </w:p>
    <w:p w14:paraId="50440448">
      <w:pPr>
        <w:spacing w:line="400" w:lineRule="exact"/>
        <w:rPr>
          <w:rFonts w:hint="eastAsia" w:ascii="宋体" w:hAnsi="宋体" w:eastAsia="宋体" w:cs="宋体"/>
          <w:sz w:val="24"/>
          <w:szCs w:val="24"/>
        </w:rPr>
      </w:pPr>
      <w:r>
        <w:rPr>
          <w:rFonts w:hint="eastAsia" w:ascii="宋体" w:hAnsi="宋体" w:cs="宋体"/>
          <w:szCs w:val="21"/>
        </w:rPr>
        <w:t xml:space="preserve">  </w:t>
      </w:r>
      <w:r>
        <w:rPr>
          <w:rFonts w:hint="eastAsia" w:ascii="宋体" w:hAnsi="宋体" w:cs="宋体"/>
          <w:sz w:val="24"/>
          <w:szCs w:val="24"/>
        </w:rPr>
        <w:t xml:space="preserve"> </w:t>
      </w:r>
      <w:r>
        <w:rPr>
          <w:rFonts w:hint="eastAsia" w:ascii="宋体" w:hAnsi="宋体" w:eastAsia="宋体" w:cs="宋体"/>
          <w:sz w:val="24"/>
          <w:szCs w:val="24"/>
        </w:rPr>
        <w:t xml:space="preserve"> 无。</w:t>
      </w:r>
    </w:p>
    <w:p w14:paraId="746E6445">
      <w:pPr>
        <w:pStyle w:val="5"/>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方正黑体_GBK" w:hAnsi="方正黑体_GBK" w:eastAsia="方正黑体_GBK" w:cs="方正黑体_GBK"/>
          <w:b w:val="0"/>
          <w:bCs w:val="0"/>
          <w:sz w:val="32"/>
          <w:szCs w:val="32"/>
          <w:highlight w:val="none"/>
        </w:rPr>
      </w:pPr>
      <w:r>
        <w:rPr>
          <w:rFonts w:hint="eastAsia" w:ascii="方正黑体_GBK" w:hAnsi="方正黑体_GBK" w:eastAsia="方正黑体_GBK" w:cs="方正黑体_GBK"/>
          <w:b w:val="0"/>
          <w:bCs w:val="0"/>
          <w:sz w:val="32"/>
          <w:szCs w:val="32"/>
        </w:rPr>
        <w:t>十</w:t>
      </w:r>
      <w:r>
        <w:rPr>
          <w:rFonts w:hint="eastAsia" w:ascii="方正黑体_GBK" w:hAnsi="方正黑体_GBK" w:eastAsia="方正黑体_GBK" w:cs="方正黑体_GBK"/>
          <w:b w:val="0"/>
          <w:bCs w:val="0"/>
          <w:sz w:val="32"/>
          <w:szCs w:val="32"/>
          <w:highlight w:val="none"/>
        </w:rPr>
        <w:t>二、其他予以说明的事项</w:t>
      </w:r>
    </w:p>
    <w:p w14:paraId="6C8A1E4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宋体" w:cs="宋体"/>
          <w:sz w:val="24"/>
          <w:szCs w:val="24"/>
          <w:lang w:val="en-US" w:eastAsia="zh-CN"/>
        </w:rPr>
      </w:pPr>
      <w:r>
        <w:rPr>
          <w:rFonts w:hint="eastAsia" w:ascii="宋体" w:hAnsi="宋体" w:cs="宋体"/>
          <w:szCs w:val="21"/>
        </w:rPr>
        <w:t xml:space="preserve">  </w:t>
      </w:r>
      <w:r>
        <w:rPr>
          <w:rFonts w:hint="eastAsia" w:ascii="宋体" w:hAnsi="宋体" w:cs="宋体"/>
          <w:sz w:val="24"/>
          <w:szCs w:val="24"/>
        </w:rPr>
        <w:t xml:space="preserve"> </w:t>
      </w:r>
      <w:r>
        <w:rPr>
          <w:rFonts w:hint="eastAsia" w:ascii="宋体" w:hAnsi="宋体" w:eastAsia="宋体" w:cs="宋体"/>
          <w:sz w:val="24"/>
          <w:szCs w:val="24"/>
        </w:rPr>
        <w:t xml:space="preserve"> </w:t>
      </w:r>
      <w:r>
        <w:rPr>
          <w:rFonts w:hint="eastAsia" w:ascii="宋体" w:hAnsi="宋体" w:cs="宋体"/>
          <w:sz w:val="24"/>
          <w:szCs w:val="24"/>
          <w:lang w:eastAsia="zh-CN"/>
        </w:rPr>
        <w:t>在</w:t>
      </w:r>
      <w:r>
        <w:rPr>
          <w:rFonts w:hint="eastAsia" w:ascii="宋体" w:hAnsi="宋体" w:cs="宋体"/>
          <w:sz w:val="24"/>
          <w:szCs w:val="24"/>
          <w:lang w:val="en-US" w:eastAsia="zh-CN"/>
        </w:rPr>
        <w:t>第一次</w:t>
      </w:r>
      <w:r>
        <w:rPr>
          <w:rFonts w:hint="eastAsia" w:ascii="宋体" w:hAnsi="宋体" w:eastAsia="宋体" w:cs="宋体"/>
          <w:sz w:val="24"/>
          <w:szCs w:val="24"/>
        </w:rPr>
        <w:t>会议</w:t>
      </w:r>
      <w:r>
        <w:rPr>
          <w:rFonts w:hint="eastAsia" w:ascii="宋体" w:hAnsi="宋体" w:cs="宋体"/>
          <w:sz w:val="24"/>
          <w:szCs w:val="24"/>
          <w:lang w:val="en-US" w:eastAsia="zh-CN"/>
        </w:rPr>
        <w:t>中，经工作组成员讨论，</w:t>
      </w:r>
      <w:r>
        <w:rPr>
          <w:rFonts w:hint="eastAsia" w:ascii="宋体" w:hAnsi="宋体" w:eastAsia="宋体" w:cs="宋体"/>
          <w:sz w:val="24"/>
          <w:szCs w:val="24"/>
        </w:rPr>
        <w:t>确定</w:t>
      </w:r>
      <w:r>
        <w:rPr>
          <w:rFonts w:hint="eastAsia" w:ascii="宋体" w:hAnsi="宋体" w:cs="宋体"/>
          <w:sz w:val="24"/>
          <w:szCs w:val="24"/>
          <w:lang w:val="en-US" w:eastAsia="zh-CN"/>
        </w:rPr>
        <w:t>将立项时的名称</w:t>
      </w:r>
      <w:r>
        <w:rPr>
          <w:rFonts w:hint="eastAsia" w:ascii="宋体" w:hAnsi="宋体" w:eastAsia="宋体" w:cs="宋体"/>
          <w:sz w:val="24"/>
          <w:szCs w:val="24"/>
        </w:rPr>
        <w:t>《电力测量领域图数据模型构建与实施指南》更名为《电力量测领域图数据模型构建指南》。</w:t>
      </w:r>
    </w:p>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DD8B77-EF23-4A13-91F9-6BE0DC90C0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黑体_GBK">
    <w:altName w:val="Arial Unicode MS"/>
    <w:panose1 w:val="02010600010101010101"/>
    <w:charset w:val="86"/>
    <w:family w:val="auto"/>
    <w:pitch w:val="default"/>
    <w:sig w:usb0="00000000" w:usb1="00000000" w:usb2="00000000" w:usb3="00000000" w:csb0="00040000" w:csb1="00000000"/>
    <w:embedRegular r:id="rId2" w:fontKey="{60DBB382-7362-4ACD-B731-BBFFFD2ECD05}"/>
  </w:font>
  <w:font w:name="汉仪中黑KW">
    <w:altName w:val="黑体"/>
    <w:panose1 w:val="00020600040101010101"/>
    <w:charset w:val="86"/>
    <w:family w:val="auto"/>
    <w:pitch w:val="default"/>
    <w:sig w:usb0="00000000" w:usb1="00000000" w:usb2="00000016" w:usb3="00000000" w:csb0="00040000" w:csb1="00000000"/>
  </w:font>
  <w:font w:name="方正楷体_GB2312">
    <w:panose1 w:val="02000000000000000000"/>
    <w:charset w:val="86"/>
    <w:family w:val="auto"/>
    <w:pitch w:val="default"/>
    <w:sig w:usb0="A00002BF" w:usb1="184F6CFA" w:usb2="00000012" w:usb3="00000000" w:csb0="00040001" w:csb1="00000000"/>
    <w:embedRegular r:id="rId3" w:fontKey="{16C924A6-CCD9-41CC-87B6-76085D7D2864}"/>
  </w:font>
  <w:font w:name="方正仿宋_GB2312">
    <w:panose1 w:val="02000000000000000000"/>
    <w:charset w:val="86"/>
    <w:family w:val="auto"/>
    <w:pitch w:val="default"/>
    <w:sig w:usb0="A00002BF" w:usb1="184F6CFA" w:usb2="00000012" w:usb3="00000000" w:csb0="00040001" w:csb1="00000000"/>
    <w:embedRegular r:id="rId4" w:fontKey="{137812A7-771A-48B6-9507-B88186D52ACF}"/>
  </w:font>
  <w:font w:name="Arial Unicode MS">
    <w:panose1 w:val="020B0604020202020204"/>
    <w:charset w:val="86"/>
    <w:family w:val="auto"/>
    <w:pitch w:val="default"/>
    <w:sig w:usb0="FFFFFFFF" w:usb1="E9FFFFFF" w:usb2="0000003F" w:usb3="00000000" w:csb0="603F01FF" w:csb1="FFFF0000"/>
  </w:font>
  <w:font w:name="KSOFD0355493">
    <w:panose1 w:val="020B0604020202020204"/>
    <w:charset w:val="86"/>
    <w:family w:val="auto"/>
    <w:pitch w:val="default"/>
    <w:sig w:usb0="00000001" w:usb1="00000000" w:usb2="00000000" w:usb3="00000000" w:csb0="00040001" w:csb1="00000000"/>
  </w:font>
  <w:font w:name="WPSEMBED1">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BC07F">
    <w:pPr>
      <w:pStyle w:val="11"/>
      <w:jc w:val="center"/>
    </w:pPr>
    <w:r>
      <w:fldChar w:fldCharType="begin"/>
    </w:r>
    <w:r>
      <w:instrText xml:space="preserve">PAGE   \* MERGEFORMAT</w:instrText>
    </w:r>
    <w:r>
      <w:fldChar w:fldCharType="separate"/>
    </w:r>
    <w:r>
      <w:t>5</w:t>
    </w:r>
    <w:r>
      <w:fldChar w:fldCharType="end"/>
    </w:r>
  </w:p>
  <w:p w14:paraId="7F75010B">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9A74A">
    <w:pPr>
      <w:ind w:left="36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5"/>
      <w:suff w:val="nothing"/>
      <w:lvlText w:val="%1.%2　"/>
      <w:lvlJc w:val="left"/>
      <w:pPr>
        <w:ind w:left="284"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46"/>
      <w:suff w:val="nothing"/>
      <w:lvlText w:val="%1.%2.%3　"/>
      <w:lvlJc w:val="left"/>
      <w:pPr>
        <w:ind w:left="1419" w:firstLine="0"/>
      </w:pPr>
      <w:rPr>
        <w:rFonts w:hint="eastAsia" w:ascii="黑体" w:hAnsi="Times New Roman" w:eastAsia="黑体"/>
        <w:b w:val="0"/>
        <w:i w:val="0"/>
        <w:sz w:val="21"/>
      </w:rPr>
    </w:lvl>
    <w:lvl w:ilvl="3" w:tentative="0">
      <w:start w:val="1"/>
      <w:numFmt w:val="decimal"/>
      <w:suff w:val="nothing"/>
      <w:lvlText w:val="%1.%2.%3.%4　"/>
      <w:lvlJc w:val="left"/>
      <w:pPr>
        <w:ind w:left="71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44C50F90"/>
    <w:multiLevelType w:val="multilevel"/>
    <w:tmpl w:val="44C50F90"/>
    <w:lvl w:ilvl="0" w:tentative="0">
      <w:start w:val="1"/>
      <w:numFmt w:val="lowerLetter"/>
      <w:pStyle w:val="30"/>
      <w:lvlText w:val="%1)"/>
      <w:lvlJc w:val="left"/>
      <w:pPr>
        <w:tabs>
          <w:tab w:val="left" w:pos="851"/>
        </w:tabs>
        <w:ind w:left="851" w:hanging="426"/>
      </w:pPr>
      <w:rPr>
        <w:rFonts w:hint="eastAsia" w:ascii="宋体" w:hAnsi="Times New Roman" w:eastAsia="宋体"/>
        <w:sz w:val="21"/>
      </w:rPr>
    </w:lvl>
    <w:lvl w:ilvl="1" w:tentative="0">
      <w:start w:val="1"/>
      <w:numFmt w:val="decimal"/>
      <w:pStyle w:val="31"/>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47"/>
      <w:suff w:val="nothing"/>
      <w:lvlText w:val="%1%2　"/>
      <w:lvlJc w:val="left"/>
      <w:pPr>
        <w:ind w:left="0" w:firstLine="0"/>
      </w:pPr>
      <w:rPr>
        <w:rFonts w:hint="eastAsia" w:ascii="黑体" w:eastAsia="黑体"/>
        <w:b w:val="0"/>
        <w:i w:val="0"/>
        <w:sz w:val="21"/>
      </w:rPr>
    </w:lvl>
    <w:lvl w:ilvl="2" w:tentative="0">
      <w:start w:val="1"/>
      <w:numFmt w:val="decimal"/>
      <w:pStyle w:val="4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color w:val="000000"/>
        <w:spacing w:val="0"/>
        <w:kern w:val="0"/>
        <w:position w:val="0"/>
        <w:sz w:val="21"/>
        <w:u w:val="none"/>
      </w:rPr>
    </w:lvl>
    <w:lvl w:ilvl="3" w:tentative="0">
      <w:start w:val="1"/>
      <w:numFmt w:val="decimal"/>
      <w:pStyle w:val="32"/>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2ZmIwNmJmZTI5ZWNhNTI3M2U2MzliNWE3ZmM3MWEifQ=="/>
  </w:docVars>
  <w:rsids>
    <w:rsidRoot w:val="00C07FD7"/>
    <w:rsid w:val="000125B6"/>
    <w:rsid w:val="000140A4"/>
    <w:rsid w:val="00021860"/>
    <w:rsid w:val="00021AD1"/>
    <w:rsid w:val="00023888"/>
    <w:rsid w:val="00024C13"/>
    <w:rsid w:val="00026950"/>
    <w:rsid w:val="00026A6A"/>
    <w:rsid w:val="000327DB"/>
    <w:rsid w:val="00032CEB"/>
    <w:rsid w:val="000342AE"/>
    <w:rsid w:val="00035ABD"/>
    <w:rsid w:val="00035D6A"/>
    <w:rsid w:val="00041DA0"/>
    <w:rsid w:val="0004323C"/>
    <w:rsid w:val="00043280"/>
    <w:rsid w:val="000445C2"/>
    <w:rsid w:val="00044EBD"/>
    <w:rsid w:val="00053DD0"/>
    <w:rsid w:val="00056E08"/>
    <w:rsid w:val="00060C0C"/>
    <w:rsid w:val="00063536"/>
    <w:rsid w:val="000746BA"/>
    <w:rsid w:val="00076F33"/>
    <w:rsid w:val="00091438"/>
    <w:rsid w:val="000929A1"/>
    <w:rsid w:val="00092EC0"/>
    <w:rsid w:val="00097BE9"/>
    <w:rsid w:val="000A0560"/>
    <w:rsid w:val="000A324F"/>
    <w:rsid w:val="000B0CCB"/>
    <w:rsid w:val="000B237C"/>
    <w:rsid w:val="000C3349"/>
    <w:rsid w:val="000C6A2D"/>
    <w:rsid w:val="000D17D0"/>
    <w:rsid w:val="000D4836"/>
    <w:rsid w:val="000D4CE1"/>
    <w:rsid w:val="000D7AD7"/>
    <w:rsid w:val="000E047B"/>
    <w:rsid w:val="000E2158"/>
    <w:rsid w:val="000F6655"/>
    <w:rsid w:val="00100FAB"/>
    <w:rsid w:val="00101675"/>
    <w:rsid w:val="00114B97"/>
    <w:rsid w:val="0012193A"/>
    <w:rsid w:val="001237E0"/>
    <w:rsid w:val="00131C05"/>
    <w:rsid w:val="001327F4"/>
    <w:rsid w:val="0013476B"/>
    <w:rsid w:val="00140FB8"/>
    <w:rsid w:val="00141B98"/>
    <w:rsid w:val="001446ED"/>
    <w:rsid w:val="00146EDD"/>
    <w:rsid w:val="00160328"/>
    <w:rsid w:val="00161356"/>
    <w:rsid w:val="00165275"/>
    <w:rsid w:val="00176D1E"/>
    <w:rsid w:val="00183189"/>
    <w:rsid w:val="00183CAA"/>
    <w:rsid w:val="00184D4C"/>
    <w:rsid w:val="00192421"/>
    <w:rsid w:val="00192C8B"/>
    <w:rsid w:val="00194207"/>
    <w:rsid w:val="001A1B6C"/>
    <w:rsid w:val="001A424B"/>
    <w:rsid w:val="001A507A"/>
    <w:rsid w:val="001A72FB"/>
    <w:rsid w:val="001B4E14"/>
    <w:rsid w:val="001B51AA"/>
    <w:rsid w:val="001C06AA"/>
    <w:rsid w:val="001C3ED8"/>
    <w:rsid w:val="001C5231"/>
    <w:rsid w:val="001C55ED"/>
    <w:rsid w:val="001D038D"/>
    <w:rsid w:val="001E48D8"/>
    <w:rsid w:val="001E6353"/>
    <w:rsid w:val="001F266E"/>
    <w:rsid w:val="001F5976"/>
    <w:rsid w:val="001F7207"/>
    <w:rsid w:val="001F7AB4"/>
    <w:rsid w:val="002004B4"/>
    <w:rsid w:val="002004D0"/>
    <w:rsid w:val="00206A66"/>
    <w:rsid w:val="00210C5F"/>
    <w:rsid w:val="002145BD"/>
    <w:rsid w:val="00220EB9"/>
    <w:rsid w:val="00221BDC"/>
    <w:rsid w:val="00224108"/>
    <w:rsid w:val="00225331"/>
    <w:rsid w:val="00226544"/>
    <w:rsid w:val="00233031"/>
    <w:rsid w:val="00243479"/>
    <w:rsid w:val="00245485"/>
    <w:rsid w:val="00247ADE"/>
    <w:rsid w:val="00247BF2"/>
    <w:rsid w:val="002542CE"/>
    <w:rsid w:val="0026529F"/>
    <w:rsid w:val="00282694"/>
    <w:rsid w:val="00284FBA"/>
    <w:rsid w:val="00285508"/>
    <w:rsid w:val="002864C4"/>
    <w:rsid w:val="00292180"/>
    <w:rsid w:val="00293FB6"/>
    <w:rsid w:val="00294CF4"/>
    <w:rsid w:val="002A3B58"/>
    <w:rsid w:val="002A484B"/>
    <w:rsid w:val="002A6CD7"/>
    <w:rsid w:val="002B4C66"/>
    <w:rsid w:val="002C0031"/>
    <w:rsid w:val="002C06C2"/>
    <w:rsid w:val="002C464D"/>
    <w:rsid w:val="002C4E91"/>
    <w:rsid w:val="002C769C"/>
    <w:rsid w:val="002E1DAF"/>
    <w:rsid w:val="002E1F6F"/>
    <w:rsid w:val="002E2F23"/>
    <w:rsid w:val="002E30C6"/>
    <w:rsid w:val="002F02C5"/>
    <w:rsid w:val="002F3DF7"/>
    <w:rsid w:val="002F4CF5"/>
    <w:rsid w:val="002F7CA0"/>
    <w:rsid w:val="0030109E"/>
    <w:rsid w:val="00307E6D"/>
    <w:rsid w:val="00310AD6"/>
    <w:rsid w:val="00311B24"/>
    <w:rsid w:val="00312657"/>
    <w:rsid w:val="00313D58"/>
    <w:rsid w:val="00316665"/>
    <w:rsid w:val="00316AEB"/>
    <w:rsid w:val="00317C9F"/>
    <w:rsid w:val="0032633E"/>
    <w:rsid w:val="0034542C"/>
    <w:rsid w:val="00345489"/>
    <w:rsid w:val="00351087"/>
    <w:rsid w:val="003604FE"/>
    <w:rsid w:val="00371A8E"/>
    <w:rsid w:val="0037225A"/>
    <w:rsid w:val="003736A6"/>
    <w:rsid w:val="003770AF"/>
    <w:rsid w:val="003773EA"/>
    <w:rsid w:val="00380C6C"/>
    <w:rsid w:val="003817FA"/>
    <w:rsid w:val="00381AA0"/>
    <w:rsid w:val="003823C7"/>
    <w:rsid w:val="003A084F"/>
    <w:rsid w:val="003A1A73"/>
    <w:rsid w:val="003A2E44"/>
    <w:rsid w:val="003A5A81"/>
    <w:rsid w:val="003B0E59"/>
    <w:rsid w:val="003B3C5C"/>
    <w:rsid w:val="003B5A86"/>
    <w:rsid w:val="003C273A"/>
    <w:rsid w:val="003D40C4"/>
    <w:rsid w:val="003D52D5"/>
    <w:rsid w:val="003D587D"/>
    <w:rsid w:val="003D759D"/>
    <w:rsid w:val="003E7257"/>
    <w:rsid w:val="003F529A"/>
    <w:rsid w:val="003F5A3A"/>
    <w:rsid w:val="004001EF"/>
    <w:rsid w:val="00403C78"/>
    <w:rsid w:val="00411CCA"/>
    <w:rsid w:val="0042301F"/>
    <w:rsid w:val="00426380"/>
    <w:rsid w:val="00426D41"/>
    <w:rsid w:val="00433F0D"/>
    <w:rsid w:val="00446D83"/>
    <w:rsid w:val="00450B65"/>
    <w:rsid w:val="00453CFD"/>
    <w:rsid w:val="00454BA9"/>
    <w:rsid w:val="0046366A"/>
    <w:rsid w:val="00472477"/>
    <w:rsid w:val="00473EC6"/>
    <w:rsid w:val="00491AAF"/>
    <w:rsid w:val="00493324"/>
    <w:rsid w:val="00494341"/>
    <w:rsid w:val="00495729"/>
    <w:rsid w:val="004958A9"/>
    <w:rsid w:val="004A56F8"/>
    <w:rsid w:val="004B42FD"/>
    <w:rsid w:val="004B7CD3"/>
    <w:rsid w:val="004D035F"/>
    <w:rsid w:val="004D25D8"/>
    <w:rsid w:val="004D6719"/>
    <w:rsid w:val="004E142A"/>
    <w:rsid w:val="004E5B62"/>
    <w:rsid w:val="004F5353"/>
    <w:rsid w:val="004F77A2"/>
    <w:rsid w:val="004F7B35"/>
    <w:rsid w:val="005023D2"/>
    <w:rsid w:val="00504D78"/>
    <w:rsid w:val="00506C65"/>
    <w:rsid w:val="00514919"/>
    <w:rsid w:val="0052574F"/>
    <w:rsid w:val="0053279D"/>
    <w:rsid w:val="005370AB"/>
    <w:rsid w:val="0054263F"/>
    <w:rsid w:val="005453CA"/>
    <w:rsid w:val="00547862"/>
    <w:rsid w:val="00551722"/>
    <w:rsid w:val="005517EF"/>
    <w:rsid w:val="00551D13"/>
    <w:rsid w:val="00552196"/>
    <w:rsid w:val="0055341B"/>
    <w:rsid w:val="00554865"/>
    <w:rsid w:val="00560931"/>
    <w:rsid w:val="00576B8F"/>
    <w:rsid w:val="00580A71"/>
    <w:rsid w:val="00581791"/>
    <w:rsid w:val="00586D07"/>
    <w:rsid w:val="00587F37"/>
    <w:rsid w:val="00596C29"/>
    <w:rsid w:val="005A0A0F"/>
    <w:rsid w:val="005A7101"/>
    <w:rsid w:val="005B04B9"/>
    <w:rsid w:val="005D3277"/>
    <w:rsid w:val="005E1501"/>
    <w:rsid w:val="005E3C02"/>
    <w:rsid w:val="005E5126"/>
    <w:rsid w:val="005F1579"/>
    <w:rsid w:val="005F2E08"/>
    <w:rsid w:val="005F79C2"/>
    <w:rsid w:val="00601078"/>
    <w:rsid w:val="006037BA"/>
    <w:rsid w:val="00604FD1"/>
    <w:rsid w:val="00607AF6"/>
    <w:rsid w:val="00612AE7"/>
    <w:rsid w:val="00625C85"/>
    <w:rsid w:val="00626486"/>
    <w:rsid w:val="00634184"/>
    <w:rsid w:val="00642FCC"/>
    <w:rsid w:val="00644264"/>
    <w:rsid w:val="00647254"/>
    <w:rsid w:val="00656F8B"/>
    <w:rsid w:val="00657FF9"/>
    <w:rsid w:val="00667F80"/>
    <w:rsid w:val="00670A94"/>
    <w:rsid w:val="00670EC7"/>
    <w:rsid w:val="0067132A"/>
    <w:rsid w:val="00671562"/>
    <w:rsid w:val="006771EB"/>
    <w:rsid w:val="0068048B"/>
    <w:rsid w:val="00685DCF"/>
    <w:rsid w:val="00686FDF"/>
    <w:rsid w:val="006B265E"/>
    <w:rsid w:val="006B3A9B"/>
    <w:rsid w:val="006C06FD"/>
    <w:rsid w:val="006C166F"/>
    <w:rsid w:val="006E04C4"/>
    <w:rsid w:val="006E6D06"/>
    <w:rsid w:val="0070016D"/>
    <w:rsid w:val="007030BB"/>
    <w:rsid w:val="007109C3"/>
    <w:rsid w:val="00713107"/>
    <w:rsid w:val="007201B7"/>
    <w:rsid w:val="00721E6D"/>
    <w:rsid w:val="007320F6"/>
    <w:rsid w:val="00735D69"/>
    <w:rsid w:val="0073722A"/>
    <w:rsid w:val="0074014F"/>
    <w:rsid w:val="00740307"/>
    <w:rsid w:val="00741613"/>
    <w:rsid w:val="007425D3"/>
    <w:rsid w:val="00742878"/>
    <w:rsid w:val="00752B3F"/>
    <w:rsid w:val="00755DF0"/>
    <w:rsid w:val="007638AD"/>
    <w:rsid w:val="007646B5"/>
    <w:rsid w:val="0077233D"/>
    <w:rsid w:val="007731CB"/>
    <w:rsid w:val="00775364"/>
    <w:rsid w:val="007763BD"/>
    <w:rsid w:val="00781EEC"/>
    <w:rsid w:val="00782CFC"/>
    <w:rsid w:val="00783699"/>
    <w:rsid w:val="00792363"/>
    <w:rsid w:val="007932EA"/>
    <w:rsid w:val="00796501"/>
    <w:rsid w:val="007A0FB8"/>
    <w:rsid w:val="007A282E"/>
    <w:rsid w:val="007A39E9"/>
    <w:rsid w:val="007B25F6"/>
    <w:rsid w:val="007B6B4B"/>
    <w:rsid w:val="007B75E0"/>
    <w:rsid w:val="007C53A8"/>
    <w:rsid w:val="007C6BE0"/>
    <w:rsid w:val="007D3FB3"/>
    <w:rsid w:val="007D4263"/>
    <w:rsid w:val="007D5CA9"/>
    <w:rsid w:val="007D773A"/>
    <w:rsid w:val="007E6051"/>
    <w:rsid w:val="007F37E2"/>
    <w:rsid w:val="007F438C"/>
    <w:rsid w:val="007F5B2B"/>
    <w:rsid w:val="007F5D9E"/>
    <w:rsid w:val="007F5EAD"/>
    <w:rsid w:val="00800EB7"/>
    <w:rsid w:val="00805DEA"/>
    <w:rsid w:val="00807BC7"/>
    <w:rsid w:val="00813009"/>
    <w:rsid w:val="00816923"/>
    <w:rsid w:val="0081723B"/>
    <w:rsid w:val="008261D3"/>
    <w:rsid w:val="00834EAE"/>
    <w:rsid w:val="00840377"/>
    <w:rsid w:val="008422E2"/>
    <w:rsid w:val="0085109D"/>
    <w:rsid w:val="008576F3"/>
    <w:rsid w:val="008652F1"/>
    <w:rsid w:val="00876073"/>
    <w:rsid w:val="0089657F"/>
    <w:rsid w:val="008A1B7C"/>
    <w:rsid w:val="008A4BB3"/>
    <w:rsid w:val="008B5921"/>
    <w:rsid w:val="008B5D3C"/>
    <w:rsid w:val="008B6F36"/>
    <w:rsid w:val="008C2741"/>
    <w:rsid w:val="008C2E7C"/>
    <w:rsid w:val="008C5501"/>
    <w:rsid w:val="008D51C7"/>
    <w:rsid w:val="008E7074"/>
    <w:rsid w:val="008F08BC"/>
    <w:rsid w:val="008F1A3F"/>
    <w:rsid w:val="00904D19"/>
    <w:rsid w:val="0091049B"/>
    <w:rsid w:val="00911E72"/>
    <w:rsid w:val="009123EA"/>
    <w:rsid w:val="00915B37"/>
    <w:rsid w:val="00916365"/>
    <w:rsid w:val="00923155"/>
    <w:rsid w:val="009303E4"/>
    <w:rsid w:val="0094073D"/>
    <w:rsid w:val="00946D87"/>
    <w:rsid w:val="00950997"/>
    <w:rsid w:val="00951150"/>
    <w:rsid w:val="0096265C"/>
    <w:rsid w:val="009649D1"/>
    <w:rsid w:val="00971FFA"/>
    <w:rsid w:val="009729E2"/>
    <w:rsid w:val="00980CC7"/>
    <w:rsid w:val="0098120E"/>
    <w:rsid w:val="00983CE9"/>
    <w:rsid w:val="009909D4"/>
    <w:rsid w:val="009910D3"/>
    <w:rsid w:val="00993015"/>
    <w:rsid w:val="00997646"/>
    <w:rsid w:val="009C5A85"/>
    <w:rsid w:val="009C6FCF"/>
    <w:rsid w:val="009D2B32"/>
    <w:rsid w:val="009D5316"/>
    <w:rsid w:val="009D539D"/>
    <w:rsid w:val="009D5E09"/>
    <w:rsid w:val="009D659E"/>
    <w:rsid w:val="009E3906"/>
    <w:rsid w:val="009E3D3C"/>
    <w:rsid w:val="009E541C"/>
    <w:rsid w:val="009F2FFA"/>
    <w:rsid w:val="009F4E4B"/>
    <w:rsid w:val="009F538F"/>
    <w:rsid w:val="00A00A02"/>
    <w:rsid w:val="00A03AE0"/>
    <w:rsid w:val="00A10C43"/>
    <w:rsid w:val="00A218BA"/>
    <w:rsid w:val="00A33203"/>
    <w:rsid w:val="00A4359C"/>
    <w:rsid w:val="00A43FDA"/>
    <w:rsid w:val="00A45735"/>
    <w:rsid w:val="00A55416"/>
    <w:rsid w:val="00A577E2"/>
    <w:rsid w:val="00A62621"/>
    <w:rsid w:val="00A6425F"/>
    <w:rsid w:val="00A65029"/>
    <w:rsid w:val="00A73B4E"/>
    <w:rsid w:val="00A76F83"/>
    <w:rsid w:val="00A80185"/>
    <w:rsid w:val="00A83ABF"/>
    <w:rsid w:val="00A854F6"/>
    <w:rsid w:val="00A855B9"/>
    <w:rsid w:val="00A9442A"/>
    <w:rsid w:val="00AA02D0"/>
    <w:rsid w:val="00AA0F98"/>
    <w:rsid w:val="00AA1F60"/>
    <w:rsid w:val="00AA22DB"/>
    <w:rsid w:val="00AB29A6"/>
    <w:rsid w:val="00AC2761"/>
    <w:rsid w:val="00AD128C"/>
    <w:rsid w:val="00AD3B06"/>
    <w:rsid w:val="00AE1FA7"/>
    <w:rsid w:val="00AF29E8"/>
    <w:rsid w:val="00AF2FC0"/>
    <w:rsid w:val="00B03E6A"/>
    <w:rsid w:val="00B0432B"/>
    <w:rsid w:val="00B04431"/>
    <w:rsid w:val="00B05335"/>
    <w:rsid w:val="00B07968"/>
    <w:rsid w:val="00B15090"/>
    <w:rsid w:val="00B223D8"/>
    <w:rsid w:val="00B227F6"/>
    <w:rsid w:val="00B25517"/>
    <w:rsid w:val="00B363A1"/>
    <w:rsid w:val="00B40259"/>
    <w:rsid w:val="00B5376B"/>
    <w:rsid w:val="00B67B85"/>
    <w:rsid w:val="00B710A0"/>
    <w:rsid w:val="00B7279A"/>
    <w:rsid w:val="00B82307"/>
    <w:rsid w:val="00B90740"/>
    <w:rsid w:val="00B94948"/>
    <w:rsid w:val="00BA1248"/>
    <w:rsid w:val="00BB392C"/>
    <w:rsid w:val="00BC2A58"/>
    <w:rsid w:val="00BC463B"/>
    <w:rsid w:val="00BC4820"/>
    <w:rsid w:val="00BD2A6B"/>
    <w:rsid w:val="00BE01BA"/>
    <w:rsid w:val="00BE06D9"/>
    <w:rsid w:val="00BE638C"/>
    <w:rsid w:val="00BE6DB7"/>
    <w:rsid w:val="00BF3D86"/>
    <w:rsid w:val="00BF5FAB"/>
    <w:rsid w:val="00C0109A"/>
    <w:rsid w:val="00C011BE"/>
    <w:rsid w:val="00C02B99"/>
    <w:rsid w:val="00C0676C"/>
    <w:rsid w:val="00C06773"/>
    <w:rsid w:val="00C07FD7"/>
    <w:rsid w:val="00C10DF5"/>
    <w:rsid w:val="00C1489F"/>
    <w:rsid w:val="00C15BDA"/>
    <w:rsid w:val="00C222DD"/>
    <w:rsid w:val="00C24F5C"/>
    <w:rsid w:val="00C267BF"/>
    <w:rsid w:val="00C27F6A"/>
    <w:rsid w:val="00C303B6"/>
    <w:rsid w:val="00C35947"/>
    <w:rsid w:val="00C35DF7"/>
    <w:rsid w:val="00C43FDE"/>
    <w:rsid w:val="00C50F62"/>
    <w:rsid w:val="00C5112C"/>
    <w:rsid w:val="00C56D7E"/>
    <w:rsid w:val="00C63018"/>
    <w:rsid w:val="00C63B25"/>
    <w:rsid w:val="00C66BE5"/>
    <w:rsid w:val="00C70BED"/>
    <w:rsid w:val="00C75F50"/>
    <w:rsid w:val="00C76244"/>
    <w:rsid w:val="00C81FB7"/>
    <w:rsid w:val="00C82E2D"/>
    <w:rsid w:val="00C85261"/>
    <w:rsid w:val="00CA6EBE"/>
    <w:rsid w:val="00CB00C4"/>
    <w:rsid w:val="00CB125C"/>
    <w:rsid w:val="00CC70B8"/>
    <w:rsid w:val="00CC7860"/>
    <w:rsid w:val="00CD43CB"/>
    <w:rsid w:val="00CD6C9A"/>
    <w:rsid w:val="00CF074D"/>
    <w:rsid w:val="00CF5406"/>
    <w:rsid w:val="00D02B77"/>
    <w:rsid w:val="00D108F4"/>
    <w:rsid w:val="00D17521"/>
    <w:rsid w:val="00D200D6"/>
    <w:rsid w:val="00D20E90"/>
    <w:rsid w:val="00D23634"/>
    <w:rsid w:val="00D24E58"/>
    <w:rsid w:val="00D27708"/>
    <w:rsid w:val="00D45ECB"/>
    <w:rsid w:val="00D7033C"/>
    <w:rsid w:val="00D84706"/>
    <w:rsid w:val="00D85F2C"/>
    <w:rsid w:val="00D86FBA"/>
    <w:rsid w:val="00D90933"/>
    <w:rsid w:val="00D92502"/>
    <w:rsid w:val="00D94C47"/>
    <w:rsid w:val="00DA2F01"/>
    <w:rsid w:val="00DB0013"/>
    <w:rsid w:val="00DB1945"/>
    <w:rsid w:val="00DB3454"/>
    <w:rsid w:val="00DB4AD5"/>
    <w:rsid w:val="00DC3630"/>
    <w:rsid w:val="00DD718B"/>
    <w:rsid w:val="00DD7EBE"/>
    <w:rsid w:val="00DE2825"/>
    <w:rsid w:val="00DF5125"/>
    <w:rsid w:val="00DF6A53"/>
    <w:rsid w:val="00DF6A54"/>
    <w:rsid w:val="00E00C17"/>
    <w:rsid w:val="00E025A9"/>
    <w:rsid w:val="00E03D57"/>
    <w:rsid w:val="00E07DFE"/>
    <w:rsid w:val="00E11A6F"/>
    <w:rsid w:val="00E166E6"/>
    <w:rsid w:val="00E1672C"/>
    <w:rsid w:val="00E42B81"/>
    <w:rsid w:val="00E47E34"/>
    <w:rsid w:val="00E50118"/>
    <w:rsid w:val="00E56F40"/>
    <w:rsid w:val="00E72BD3"/>
    <w:rsid w:val="00E74BFC"/>
    <w:rsid w:val="00E75D8B"/>
    <w:rsid w:val="00E77999"/>
    <w:rsid w:val="00E812F8"/>
    <w:rsid w:val="00E95999"/>
    <w:rsid w:val="00E97720"/>
    <w:rsid w:val="00EA2D2E"/>
    <w:rsid w:val="00EA4114"/>
    <w:rsid w:val="00EA7644"/>
    <w:rsid w:val="00EA7762"/>
    <w:rsid w:val="00EB1602"/>
    <w:rsid w:val="00EB46D7"/>
    <w:rsid w:val="00EC5B9D"/>
    <w:rsid w:val="00ED545D"/>
    <w:rsid w:val="00EE0B00"/>
    <w:rsid w:val="00EE33A6"/>
    <w:rsid w:val="00EE657F"/>
    <w:rsid w:val="00EF523C"/>
    <w:rsid w:val="00F113E9"/>
    <w:rsid w:val="00F211B3"/>
    <w:rsid w:val="00F34E25"/>
    <w:rsid w:val="00F3640C"/>
    <w:rsid w:val="00F3754A"/>
    <w:rsid w:val="00F439A4"/>
    <w:rsid w:val="00F46547"/>
    <w:rsid w:val="00F50275"/>
    <w:rsid w:val="00F5148D"/>
    <w:rsid w:val="00F51C56"/>
    <w:rsid w:val="00F52715"/>
    <w:rsid w:val="00F56F60"/>
    <w:rsid w:val="00F61FAD"/>
    <w:rsid w:val="00F64A7B"/>
    <w:rsid w:val="00F81BE3"/>
    <w:rsid w:val="00F82FB7"/>
    <w:rsid w:val="00F842D4"/>
    <w:rsid w:val="00F9244E"/>
    <w:rsid w:val="00F937EE"/>
    <w:rsid w:val="00F96C35"/>
    <w:rsid w:val="00FA4E39"/>
    <w:rsid w:val="00FB4480"/>
    <w:rsid w:val="00FB7F69"/>
    <w:rsid w:val="00FC7993"/>
    <w:rsid w:val="00FD0271"/>
    <w:rsid w:val="00FD4FE4"/>
    <w:rsid w:val="00FE1150"/>
    <w:rsid w:val="00FE3DBE"/>
    <w:rsid w:val="00FF1806"/>
    <w:rsid w:val="00FF4757"/>
    <w:rsid w:val="00FF5E2B"/>
    <w:rsid w:val="00FF60E8"/>
    <w:rsid w:val="010529A1"/>
    <w:rsid w:val="015D78C2"/>
    <w:rsid w:val="01F8525A"/>
    <w:rsid w:val="0206350A"/>
    <w:rsid w:val="025A548B"/>
    <w:rsid w:val="0267744B"/>
    <w:rsid w:val="03046F41"/>
    <w:rsid w:val="032B7CCC"/>
    <w:rsid w:val="034E6950"/>
    <w:rsid w:val="03C47A3D"/>
    <w:rsid w:val="03EF27C8"/>
    <w:rsid w:val="03F3608F"/>
    <w:rsid w:val="03F73430"/>
    <w:rsid w:val="044D4541"/>
    <w:rsid w:val="04B406C8"/>
    <w:rsid w:val="051A11D0"/>
    <w:rsid w:val="055B54AE"/>
    <w:rsid w:val="05B71053"/>
    <w:rsid w:val="061D37E4"/>
    <w:rsid w:val="07282BD2"/>
    <w:rsid w:val="073525D0"/>
    <w:rsid w:val="07933427"/>
    <w:rsid w:val="079C3835"/>
    <w:rsid w:val="07BE0EAF"/>
    <w:rsid w:val="084D6DC9"/>
    <w:rsid w:val="08591C04"/>
    <w:rsid w:val="08C30585"/>
    <w:rsid w:val="090215F0"/>
    <w:rsid w:val="091229C5"/>
    <w:rsid w:val="093B6561"/>
    <w:rsid w:val="094B1189"/>
    <w:rsid w:val="099F3105"/>
    <w:rsid w:val="09FF031A"/>
    <w:rsid w:val="0A95328F"/>
    <w:rsid w:val="0A9E3E3B"/>
    <w:rsid w:val="0AA00011"/>
    <w:rsid w:val="0B090D2C"/>
    <w:rsid w:val="0B257C4F"/>
    <w:rsid w:val="0B9567CA"/>
    <w:rsid w:val="0C7A2535"/>
    <w:rsid w:val="0C7A6ED4"/>
    <w:rsid w:val="0D00636D"/>
    <w:rsid w:val="0D1C75CD"/>
    <w:rsid w:val="0D5F0B5D"/>
    <w:rsid w:val="0EE86A55"/>
    <w:rsid w:val="0FF54858"/>
    <w:rsid w:val="10A47B52"/>
    <w:rsid w:val="10DF406E"/>
    <w:rsid w:val="11926D8D"/>
    <w:rsid w:val="11A2081E"/>
    <w:rsid w:val="11E90053"/>
    <w:rsid w:val="12320AF7"/>
    <w:rsid w:val="12BF58FF"/>
    <w:rsid w:val="12F24C1A"/>
    <w:rsid w:val="130509C1"/>
    <w:rsid w:val="13176148"/>
    <w:rsid w:val="13760D4E"/>
    <w:rsid w:val="13767950"/>
    <w:rsid w:val="14114D6A"/>
    <w:rsid w:val="14147A3B"/>
    <w:rsid w:val="15020CA3"/>
    <w:rsid w:val="155D62E6"/>
    <w:rsid w:val="15690030"/>
    <w:rsid w:val="16035571"/>
    <w:rsid w:val="162639CD"/>
    <w:rsid w:val="16436BBB"/>
    <w:rsid w:val="16970417"/>
    <w:rsid w:val="16BB474E"/>
    <w:rsid w:val="17683B61"/>
    <w:rsid w:val="180E1119"/>
    <w:rsid w:val="18393541"/>
    <w:rsid w:val="18A176F2"/>
    <w:rsid w:val="18A500EF"/>
    <w:rsid w:val="18C35161"/>
    <w:rsid w:val="18CD1D13"/>
    <w:rsid w:val="195D7E33"/>
    <w:rsid w:val="19792055"/>
    <w:rsid w:val="198552B3"/>
    <w:rsid w:val="19970503"/>
    <w:rsid w:val="19C27D7F"/>
    <w:rsid w:val="1A55EF0C"/>
    <w:rsid w:val="1B002FFA"/>
    <w:rsid w:val="1B9907D4"/>
    <w:rsid w:val="1BE76BEB"/>
    <w:rsid w:val="1C0C749B"/>
    <w:rsid w:val="1C2A1FFA"/>
    <w:rsid w:val="1CAD7018"/>
    <w:rsid w:val="1D4460EE"/>
    <w:rsid w:val="1D4C369E"/>
    <w:rsid w:val="1D7D286E"/>
    <w:rsid w:val="1D7F2551"/>
    <w:rsid w:val="1DD31238"/>
    <w:rsid w:val="1F417CF9"/>
    <w:rsid w:val="1F6736C2"/>
    <w:rsid w:val="1F783185"/>
    <w:rsid w:val="1FBF7A6F"/>
    <w:rsid w:val="1FD57590"/>
    <w:rsid w:val="2071095A"/>
    <w:rsid w:val="20840C8E"/>
    <w:rsid w:val="208D6BBB"/>
    <w:rsid w:val="21D7460A"/>
    <w:rsid w:val="2216145C"/>
    <w:rsid w:val="223649D8"/>
    <w:rsid w:val="22A45836"/>
    <w:rsid w:val="22B34C76"/>
    <w:rsid w:val="23027041"/>
    <w:rsid w:val="231E398E"/>
    <w:rsid w:val="237A0EA4"/>
    <w:rsid w:val="238C742E"/>
    <w:rsid w:val="23A75EEF"/>
    <w:rsid w:val="240806E8"/>
    <w:rsid w:val="24481FE0"/>
    <w:rsid w:val="248311C0"/>
    <w:rsid w:val="248764B8"/>
    <w:rsid w:val="24BC14A0"/>
    <w:rsid w:val="2538360D"/>
    <w:rsid w:val="259768C4"/>
    <w:rsid w:val="25F36AC0"/>
    <w:rsid w:val="26177B96"/>
    <w:rsid w:val="26355BCA"/>
    <w:rsid w:val="26A45E4D"/>
    <w:rsid w:val="26D20B6F"/>
    <w:rsid w:val="272711D4"/>
    <w:rsid w:val="27533EE6"/>
    <w:rsid w:val="27A75FE0"/>
    <w:rsid w:val="29417347"/>
    <w:rsid w:val="297E7214"/>
    <w:rsid w:val="29A852E1"/>
    <w:rsid w:val="29CB610C"/>
    <w:rsid w:val="29CE1F49"/>
    <w:rsid w:val="29EB4EC7"/>
    <w:rsid w:val="2A2F41FE"/>
    <w:rsid w:val="2A4D3368"/>
    <w:rsid w:val="2A721FF8"/>
    <w:rsid w:val="2AA1140C"/>
    <w:rsid w:val="2ADEACD6"/>
    <w:rsid w:val="2B187193"/>
    <w:rsid w:val="2B2C3011"/>
    <w:rsid w:val="2B59385C"/>
    <w:rsid w:val="2B882FE3"/>
    <w:rsid w:val="2BFB3D61"/>
    <w:rsid w:val="2BFE0E57"/>
    <w:rsid w:val="2CBD3F75"/>
    <w:rsid w:val="2CF27769"/>
    <w:rsid w:val="2CF74318"/>
    <w:rsid w:val="2CFB12C0"/>
    <w:rsid w:val="2DA03BFD"/>
    <w:rsid w:val="2DA77FD3"/>
    <w:rsid w:val="2E060545"/>
    <w:rsid w:val="2E1F36AF"/>
    <w:rsid w:val="2FFC7C4A"/>
    <w:rsid w:val="30305AEA"/>
    <w:rsid w:val="304B257B"/>
    <w:rsid w:val="307C0364"/>
    <w:rsid w:val="30B0524B"/>
    <w:rsid w:val="30B11B46"/>
    <w:rsid w:val="31EB4AD1"/>
    <w:rsid w:val="324C2EAE"/>
    <w:rsid w:val="32D166F5"/>
    <w:rsid w:val="33152293"/>
    <w:rsid w:val="339F6C4E"/>
    <w:rsid w:val="33DA06F7"/>
    <w:rsid w:val="340F48FC"/>
    <w:rsid w:val="34265515"/>
    <w:rsid w:val="343C1419"/>
    <w:rsid w:val="349B3370"/>
    <w:rsid w:val="34AF2C20"/>
    <w:rsid w:val="34C11256"/>
    <w:rsid w:val="35031581"/>
    <w:rsid w:val="351202FF"/>
    <w:rsid w:val="351647A5"/>
    <w:rsid w:val="35BC388F"/>
    <w:rsid w:val="35F91C8B"/>
    <w:rsid w:val="3609360F"/>
    <w:rsid w:val="361B04A0"/>
    <w:rsid w:val="365C6355"/>
    <w:rsid w:val="36646E1F"/>
    <w:rsid w:val="36825C5E"/>
    <w:rsid w:val="36C55F68"/>
    <w:rsid w:val="36C85AB1"/>
    <w:rsid w:val="36E4386D"/>
    <w:rsid w:val="37265173"/>
    <w:rsid w:val="37346B23"/>
    <w:rsid w:val="37D35893"/>
    <w:rsid w:val="383E4EC8"/>
    <w:rsid w:val="385A6D44"/>
    <w:rsid w:val="386A7099"/>
    <w:rsid w:val="389337B6"/>
    <w:rsid w:val="389B7811"/>
    <w:rsid w:val="393E24A6"/>
    <w:rsid w:val="39A560B6"/>
    <w:rsid w:val="3AA14BDA"/>
    <w:rsid w:val="3B267C8A"/>
    <w:rsid w:val="3BC86EC9"/>
    <w:rsid w:val="3BE23632"/>
    <w:rsid w:val="3BE6368D"/>
    <w:rsid w:val="3C211CB3"/>
    <w:rsid w:val="3C523343"/>
    <w:rsid w:val="3C772F67"/>
    <w:rsid w:val="3C890106"/>
    <w:rsid w:val="3D1651F0"/>
    <w:rsid w:val="3D4D254F"/>
    <w:rsid w:val="3D6B1A8C"/>
    <w:rsid w:val="3DED4844"/>
    <w:rsid w:val="3E712FA9"/>
    <w:rsid w:val="3EBE5E7C"/>
    <w:rsid w:val="3F5F3197"/>
    <w:rsid w:val="3F980BD8"/>
    <w:rsid w:val="3FAD462D"/>
    <w:rsid w:val="3FB809BF"/>
    <w:rsid w:val="3FEC7CB4"/>
    <w:rsid w:val="3FFD724D"/>
    <w:rsid w:val="40687AEB"/>
    <w:rsid w:val="40DC4C45"/>
    <w:rsid w:val="40DF6FA1"/>
    <w:rsid w:val="40E6578E"/>
    <w:rsid w:val="41201A3F"/>
    <w:rsid w:val="41327A97"/>
    <w:rsid w:val="41922BF1"/>
    <w:rsid w:val="41A20AF6"/>
    <w:rsid w:val="4218487C"/>
    <w:rsid w:val="42486ADC"/>
    <w:rsid w:val="426E4241"/>
    <w:rsid w:val="42F1542D"/>
    <w:rsid w:val="43085A8E"/>
    <w:rsid w:val="431542ED"/>
    <w:rsid w:val="43251536"/>
    <w:rsid w:val="438935BE"/>
    <w:rsid w:val="43CF576B"/>
    <w:rsid w:val="43D766A6"/>
    <w:rsid w:val="44167D7E"/>
    <w:rsid w:val="444B23E3"/>
    <w:rsid w:val="445E5402"/>
    <w:rsid w:val="446C1C00"/>
    <w:rsid w:val="44774F25"/>
    <w:rsid w:val="4479634B"/>
    <w:rsid w:val="45841D41"/>
    <w:rsid w:val="458D7872"/>
    <w:rsid w:val="45A80E29"/>
    <w:rsid w:val="46210F1C"/>
    <w:rsid w:val="46387E1F"/>
    <w:rsid w:val="465E0411"/>
    <w:rsid w:val="46633C2B"/>
    <w:rsid w:val="467F622E"/>
    <w:rsid w:val="46CB1754"/>
    <w:rsid w:val="46E771D4"/>
    <w:rsid w:val="47170634"/>
    <w:rsid w:val="47B411D0"/>
    <w:rsid w:val="47C066CC"/>
    <w:rsid w:val="47D55B81"/>
    <w:rsid w:val="48B6365C"/>
    <w:rsid w:val="48C64ECB"/>
    <w:rsid w:val="48FB6A8F"/>
    <w:rsid w:val="493A6E76"/>
    <w:rsid w:val="497F6E31"/>
    <w:rsid w:val="499D3D96"/>
    <w:rsid w:val="49C778F0"/>
    <w:rsid w:val="49DF1C3F"/>
    <w:rsid w:val="49EC488A"/>
    <w:rsid w:val="4A643210"/>
    <w:rsid w:val="4A7207A7"/>
    <w:rsid w:val="4A835FE1"/>
    <w:rsid w:val="4AA27F9B"/>
    <w:rsid w:val="4AE47C47"/>
    <w:rsid w:val="4B32363B"/>
    <w:rsid w:val="4B667B2B"/>
    <w:rsid w:val="4B735DE7"/>
    <w:rsid w:val="4BC3729A"/>
    <w:rsid w:val="4BF23E4F"/>
    <w:rsid w:val="4C4607DA"/>
    <w:rsid w:val="4CBE030E"/>
    <w:rsid w:val="4CFF6B43"/>
    <w:rsid w:val="4D4675DD"/>
    <w:rsid w:val="4D6466CB"/>
    <w:rsid w:val="4DA34D55"/>
    <w:rsid w:val="4E092FFA"/>
    <w:rsid w:val="4EAF569F"/>
    <w:rsid w:val="4EF1621C"/>
    <w:rsid w:val="4F523FD7"/>
    <w:rsid w:val="4F7D08F7"/>
    <w:rsid w:val="50016AC2"/>
    <w:rsid w:val="50123898"/>
    <w:rsid w:val="50427E43"/>
    <w:rsid w:val="505D0938"/>
    <w:rsid w:val="51AB68BB"/>
    <w:rsid w:val="51BE3532"/>
    <w:rsid w:val="51FF6B10"/>
    <w:rsid w:val="52A73009"/>
    <w:rsid w:val="52D46729"/>
    <w:rsid w:val="530024DC"/>
    <w:rsid w:val="53194738"/>
    <w:rsid w:val="53836818"/>
    <w:rsid w:val="53DA11A0"/>
    <w:rsid w:val="53E32E8A"/>
    <w:rsid w:val="54915BA9"/>
    <w:rsid w:val="54B27BEE"/>
    <w:rsid w:val="54C2402E"/>
    <w:rsid w:val="55FB82E4"/>
    <w:rsid w:val="564B6B63"/>
    <w:rsid w:val="56514C21"/>
    <w:rsid w:val="566C201F"/>
    <w:rsid w:val="567345E6"/>
    <w:rsid w:val="568E367B"/>
    <w:rsid w:val="56A70A5C"/>
    <w:rsid w:val="570B3917"/>
    <w:rsid w:val="5749021F"/>
    <w:rsid w:val="5779299C"/>
    <w:rsid w:val="57AB43F8"/>
    <w:rsid w:val="57D85739"/>
    <w:rsid w:val="580F3D30"/>
    <w:rsid w:val="58221A49"/>
    <w:rsid w:val="58B42698"/>
    <w:rsid w:val="592D575A"/>
    <w:rsid w:val="596407D3"/>
    <w:rsid w:val="598B3C51"/>
    <w:rsid w:val="5A573610"/>
    <w:rsid w:val="5B2568B1"/>
    <w:rsid w:val="5B422B8B"/>
    <w:rsid w:val="5B6F6F42"/>
    <w:rsid w:val="5B825CAE"/>
    <w:rsid w:val="5B9B4131"/>
    <w:rsid w:val="5BEF6CB4"/>
    <w:rsid w:val="5C3929A3"/>
    <w:rsid w:val="5C476F4F"/>
    <w:rsid w:val="5C9748E3"/>
    <w:rsid w:val="5CBC6CD8"/>
    <w:rsid w:val="5CD740E4"/>
    <w:rsid w:val="5DB7078B"/>
    <w:rsid w:val="5DC015CE"/>
    <w:rsid w:val="5E0B66F4"/>
    <w:rsid w:val="5E7D3DE6"/>
    <w:rsid w:val="5EC549C2"/>
    <w:rsid w:val="5EE42100"/>
    <w:rsid w:val="5EE83FD6"/>
    <w:rsid w:val="5F093E9D"/>
    <w:rsid w:val="5F8C425B"/>
    <w:rsid w:val="5FA42D8A"/>
    <w:rsid w:val="5FE534F6"/>
    <w:rsid w:val="6045177F"/>
    <w:rsid w:val="60F308EF"/>
    <w:rsid w:val="60FD48E7"/>
    <w:rsid w:val="61333E65"/>
    <w:rsid w:val="61432360"/>
    <w:rsid w:val="6176717E"/>
    <w:rsid w:val="61A76DC0"/>
    <w:rsid w:val="62186AF3"/>
    <w:rsid w:val="622951B8"/>
    <w:rsid w:val="62492AD7"/>
    <w:rsid w:val="628E5FB9"/>
    <w:rsid w:val="62A10B56"/>
    <w:rsid w:val="62BB5C43"/>
    <w:rsid w:val="63653051"/>
    <w:rsid w:val="63737A74"/>
    <w:rsid w:val="637A6826"/>
    <w:rsid w:val="639C2195"/>
    <w:rsid w:val="645B0D09"/>
    <w:rsid w:val="657D7DA4"/>
    <w:rsid w:val="658028C9"/>
    <w:rsid w:val="65F477C4"/>
    <w:rsid w:val="6600600D"/>
    <w:rsid w:val="66116ABA"/>
    <w:rsid w:val="665373D5"/>
    <w:rsid w:val="665A00E6"/>
    <w:rsid w:val="66924654"/>
    <w:rsid w:val="66C1218C"/>
    <w:rsid w:val="66DF3DF0"/>
    <w:rsid w:val="6702026A"/>
    <w:rsid w:val="676E01BB"/>
    <w:rsid w:val="677B141F"/>
    <w:rsid w:val="67FB3499"/>
    <w:rsid w:val="68064081"/>
    <w:rsid w:val="68467EA7"/>
    <w:rsid w:val="69C42446"/>
    <w:rsid w:val="6A2C74F0"/>
    <w:rsid w:val="6A613793"/>
    <w:rsid w:val="6AAB298E"/>
    <w:rsid w:val="6ABE6410"/>
    <w:rsid w:val="6AEF613E"/>
    <w:rsid w:val="6B8D4C87"/>
    <w:rsid w:val="6C2E17BA"/>
    <w:rsid w:val="6D48513C"/>
    <w:rsid w:val="6D762C20"/>
    <w:rsid w:val="6E1950F6"/>
    <w:rsid w:val="6E310AD8"/>
    <w:rsid w:val="6E940B7A"/>
    <w:rsid w:val="6FBFAB9A"/>
    <w:rsid w:val="6FF9CA01"/>
    <w:rsid w:val="703A272E"/>
    <w:rsid w:val="717C721C"/>
    <w:rsid w:val="719566D4"/>
    <w:rsid w:val="71DE7E1D"/>
    <w:rsid w:val="71E835F0"/>
    <w:rsid w:val="72294B2F"/>
    <w:rsid w:val="7259262A"/>
    <w:rsid w:val="74D06A77"/>
    <w:rsid w:val="75065DB7"/>
    <w:rsid w:val="762C7EE8"/>
    <w:rsid w:val="76CC29FB"/>
    <w:rsid w:val="770F35FE"/>
    <w:rsid w:val="777B5002"/>
    <w:rsid w:val="77FB6B4C"/>
    <w:rsid w:val="77FB9376"/>
    <w:rsid w:val="78477BB6"/>
    <w:rsid w:val="785A5B03"/>
    <w:rsid w:val="78DBE979"/>
    <w:rsid w:val="79C4024E"/>
    <w:rsid w:val="79FC265D"/>
    <w:rsid w:val="7A5B9116"/>
    <w:rsid w:val="7ABE4CD1"/>
    <w:rsid w:val="7AFE606B"/>
    <w:rsid w:val="7B5254FB"/>
    <w:rsid w:val="7B5935FD"/>
    <w:rsid w:val="7BB27F43"/>
    <w:rsid w:val="7BB72EDA"/>
    <w:rsid w:val="7BDB6CDC"/>
    <w:rsid w:val="7C340505"/>
    <w:rsid w:val="7C471EE4"/>
    <w:rsid w:val="7CEF2CDE"/>
    <w:rsid w:val="7D4635B2"/>
    <w:rsid w:val="7D64173C"/>
    <w:rsid w:val="7D777A3E"/>
    <w:rsid w:val="7D9B26AB"/>
    <w:rsid w:val="7DFC1F91"/>
    <w:rsid w:val="7E0916DD"/>
    <w:rsid w:val="7E405882"/>
    <w:rsid w:val="7E4F609C"/>
    <w:rsid w:val="7EA254FE"/>
    <w:rsid w:val="7EA875E5"/>
    <w:rsid w:val="7F3F716A"/>
    <w:rsid w:val="7FE505C8"/>
    <w:rsid w:val="7FFF168A"/>
    <w:rsid w:val="8E978DCD"/>
    <w:rsid w:val="9F8F0811"/>
    <w:rsid w:val="A7EFDA38"/>
    <w:rsid w:val="B5668F57"/>
    <w:rsid w:val="D68E3D55"/>
    <w:rsid w:val="D6BB14F3"/>
    <w:rsid w:val="DCF729B3"/>
    <w:rsid w:val="DFA96B7F"/>
    <w:rsid w:val="DFDF394B"/>
    <w:rsid w:val="EEBFABD7"/>
    <w:rsid w:val="EFDFE252"/>
    <w:rsid w:val="F3AB2DC1"/>
    <w:rsid w:val="F5EF3DDD"/>
    <w:rsid w:val="FFFE34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semiHidden="0"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ocked="1"/>
    <w:lsdException w:uiPriority="99" w:name="Closing" w:locked="1"/>
    <w:lsdException w:uiPriority="99" w:name="Signature" w:locked="1"/>
    <w:lsdException w:qFormat="1" w:uiPriority="1" w:name="Default Paragraph Font"/>
    <w:lsdException w:qFormat="1" w:unhideWhenUsed="0" w:uiPriority="1" w:semiHidden="0"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name="Date"/>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34"/>
    <w:qFormat/>
    <w:uiPriority w:val="99"/>
    <w:pPr>
      <w:keepNext/>
      <w:keepLines/>
      <w:spacing w:before="340" w:after="330" w:line="578" w:lineRule="auto"/>
      <w:outlineLvl w:val="0"/>
    </w:pPr>
    <w:rPr>
      <w:b/>
      <w:bCs/>
      <w:kern w:val="44"/>
      <w:sz w:val="44"/>
      <w:szCs w:val="44"/>
    </w:rPr>
  </w:style>
  <w:style w:type="paragraph" w:styleId="5">
    <w:name w:val="heading 2"/>
    <w:basedOn w:val="1"/>
    <w:next w:val="1"/>
    <w:link w:val="35"/>
    <w:qFormat/>
    <w:uiPriority w:val="99"/>
    <w:pPr>
      <w:keepNext/>
      <w:keepLines/>
      <w:spacing w:before="260" w:after="260" w:line="416" w:lineRule="auto"/>
      <w:outlineLvl w:val="1"/>
    </w:pPr>
    <w:rPr>
      <w:rFonts w:ascii="Cambria" w:hAnsi="Cambria"/>
      <w:b/>
      <w:bCs/>
      <w:kern w:val="0"/>
      <w:sz w:val="32"/>
      <w:szCs w:val="32"/>
    </w:rPr>
  </w:style>
  <w:style w:type="paragraph" w:styleId="6">
    <w:name w:val="heading 3"/>
    <w:basedOn w:val="1"/>
    <w:next w:val="1"/>
    <w:link w:val="36"/>
    <w:qFormat/>
    <w:uiPriority w:val="99"/>
    <w:pPr>
      <w:keepNext/>
      <w:keepLines/>
      <w:spacing w:before="260" w:after="260" w:line="416" w:lineRule="auto"/>
      <w:outlineLvl w:val="2"/>
    </w:pPr>
    <w:rPr>
      <w:rFonts w:cs="黑体" w:asciiTheme="majorEastAsia" w:hAnsiTheme="majorEastAsia" w:eastAsiaTheme="majorEastAsia"/>
      <w:b/>
      <w:bCs/>
      <w:kern w:val="0"/>
      <w:sz w:val="28"/>
      <w:szCs w:val="28"/>
    </w:rPr>
  </w:style>
  <w:style w:type="paragraph" w:styleId="7">
    <w:name w:val="heading 4"/>
    <w:basedOn w:val="1"/>
    <w:next w:val="1"/>
    <w:link w:val="50"/>
    <w:unhideWhenUsed/>
    <w:qFormat/>
    <w:locked/>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49"/>
    <w:qFormat/>
    <w:locked/>
    <w:uiPriority w:val="1"/>
    <w:pPr>
      <w:autoSpaceDE w:val="0"/>
      <w:autoSpaceDN w:val="0"/>
      <w:jc w:val="left"/>
    </w:pPr>
    <w:rPr>
      <w:rFonts w:ascii="宋体" w:hAnsi="宋体" w:cs="宋体"/>
      <w:kern w:val="0"/>
      <w:szCs w:val="21"/>
    </w:rPr>
  </w:style>
  <w:style w:type="paragraph" w:styleId="3">
    <w:name w:val="Title"/>
    <w:basedOn w:val="1"/>
    <w:next w:val="1"/>
    <w:qFormat/>
    <w:locked/>
    <w:uiPriority w:val="0"/>
    <w:pPr>
      <w:spacing w:before="240" w:after="60"/>
      <w:jc w:val="center"/>
      <w:outlineLvl w:val="0"/>
    </w:pPr>
    <w:rPr>
      <w:rFonts w:ascii="Arial" w:hAnsi="Arial" w:cs="Arial"/>
      <w:b/>
      <w:bCs/>
      <w:sz w:val="32"/>
      <w:szCs w:val="32"/>
    </w:rPr>
  </w:style>
  <w:style w:type="paragraph" w:styleId="8">
    <w:name w:val="annotation text"/>
    <w:basedOn w:val="1"/>
    <w:link w:val="37"/>
    <w:semiHidden/>
    <w:qFormat/>
    <w:uiPriority w:val="99"/>
    <w:pPr>
      <w:jc w:val="left"/>
    </w:pPr>
    <w:rPr>
      <w:kern w:val="0"/>
      <w:sz w:val="20"/>
      <w:szCs w:val="21"/>
    </w:rPr>
  </w:style>
  <w:style w:type="paragraph" w:styleId="9">
    <w:name w:val="Date"/>
    <w:basedOn w:val="1"/>
    <w:next w:val="1"/>
    <w:link w:val="38"/>
    <w:semiHidden/>
    <w:qFormat/>
    <w:uiPriority w:val="99"/>
    <w:pPr>
      <w:ind w:left="100" w:leftChars="2500"/>
    </w:pPr>
  </w:style>
  <w:style w:type="paragraph" w:styleId="10">
    <w:name w:val="Balloon Text"/>
    <w:basedOn w:val="1"/>
    <w:link w:val="39"/>
    <w:semiHidden/>
    <w:qFormat/>
    <w:uiPriority w:val="99"/>
    <w:rPr>
      <w:kern w:val="0"/>
      <w:sz w:val="18"/>
      <w:szCs w:val="18"/>
    </w:rPr>
  </w:style>
  <w:style w:type="paragraph" w:styleId="11">
    <w:name w:val="footer"/>
    <w:basedOn w:val="1"/>
    <w:link w:val="40"/>
    <w:qFormat/>
    <w:uiPriority w:val="99"/>
    <w:pPr>
      <w:tabs>
        <w:tab w:val="center" w:pos="4153"/>
        <w:tab w:val="right" w:pos="8306"/>
      </w:tabs>
      <w:snapToGrid w:val="0"/>
      <w:jc w:val="left"/>
    </w:pPr>
    <w:rPr>
      <w:kern w:val="0"/>
      <w:sz w:val="18"/>
      <w:szCs w:val="18"/>
    </w:rPr>
  </w:style>
  <w:style w:type="paragraph" w:styleId="12">
    <w:name w:val="header"/>
    <w:basedOn w:val="1"/>
    <w:link w:val="41"/>
    <w:qFormat/>
    <w:uiPriority w:val="99"/>
    <w:pPr>
      <w:pBdr>
        <w:bottom w:val="single" w:color="auto" w:sz="6" w:space="1"/>
      </w:pBdr>
      <w:tabs>
        <w:tab w:val="center" w:pos="4153"/>
        <w:tab w:val="right" w:pos="8306"/>
      </w:tabs>
      <w:snapToGrid w:val="0"/>
      <w:jc w:val="center"/>
    </w:pPr>
    <w:rPr>
      <w:kern w:val="0"/>
      <w:sz w:val="18"/>
      <w:szCs w:val="18"/>
    </w:rPr>
  </w:style>
  <w:style w:type="paragraph" w:styleId="13">
    <w:name w:val="toc 1"/>
    <w:basedOn w:val="1"/>
    <w:next w:val="1"/>
    <w:qFormat/>
    <w:uiPriority w:val="99"/>
    <w:pPr>
      <w:tabs>
        <w:tab w:val="right" w:leader="dot" w:pos="9241"/>
      </w:tabs>
      <w:spacing w:beforeLines="25" w:afterLines="25"/>
      <w:jc w:val="left"/>
    </w:pPr>
    <w:rPr>
      <w:rFonts w:ascii="宋体"/>
      <w:szCs w:val="21"/>
    </w:rPr>
  </w:style>
  <w:style w:type="paragraph" w:styleId="14">
    <w:name w:val="toc 2"/>
    <w:basedOn w:val="1"/>
    <w:next w:val="1"/>
    <w:qFormat/>
    <w:uiPriority w:val="99"/>
    <w:pPr>
      <w:tabs>
        <w:tab w:val="right" w:leader="dot" w:pos="9241"/>
      </w:tabs>
    </w:pPr>
    <w:rPr>
      <w:rFonts w:ascii="宋体"/>
      <w:szCs w:val="21"/>
    </w:rPr>
  </w:style>
  <w:style w:type="paragraph" w:styleId="1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17">
    <w:name w:val="Table Grid"/>
    <w:basedOn w:val="16"/>
    <w:qFormat/>
    <w:locked/>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locked/>
    <w:uiPriority w:val="22"/>
    <w:rPr>
      <w:b/>
      <w:bCs/>
    </w:rPr>
  </w:style>
  <w:style w:type="character" w:styleId="20">
    <w:name w:val="Emphasis"/>
    <w:basedOn w:val="18"/>
    <w:qFormat/>
    <w:locked/>
    <w:uiPriority w:val="20"/>
    <w:rPr>
      <w:i/>
    </w:rPr>
  </w:style>
  <w:style w:type="character" w:styleId="21">
    <w:name w:val="Hyperlink"/>
    <w:semiHidden/>
    <w:qFormat/>
    <w:uiPriority w:val="99"/>
    <w:rPr>
      <w:rFonts w:cs="Times New Roman"/>
      <w:color w:val="0000CC"/>
      <w:u w:val="single"/>
    </w:rPr>
  </w:style>
  <w:style w:type="character" w:styleId="22">
    <w:name w:val="annotation reference"/>
    <w:semiHidden/>
    <w:qFormat/>
    <w:uiPriority w:val="99"/>
    <w:rPr>
      <w:rFonts w:cs="Times New Roman"/>
      <w:sz w:val="21"/>
    </w:rPr>
  </w:style>
  <w:style w:type="paragraph" w:customStyle="1" w:styleId="23">
    <w:name w:val="段"/>
    <w:link w:val="42"/>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paragraph" w:customStyle="1" w:styleId="24">
    <w:name w:val="列出段落1"/>
    <w:basedOn w:val="1"/>
    <w:qFormat/>
    <w:uiPriority w:val="99"/>
    <w:pPr>
      <w:ind w:firstLine="420" w:firstLineChars="200"/>
    </w:pPr>
  </w:style>
  <w:style w:type="paragraph" w:customStyle="1" w:styleId="25">
    <w:name w:val="目次、标准名称标题"/>
    <w:basedOn w:val="1"/>
    <w:next w:val="23"/>
    <w:qFormat/>
    <w:uiPriority w:val="99"/>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26">
    <w:name w:val="标准书脚_奇数页"/>
    <w:qFormat/>
    <w:uiPriority w:val="99"/>
    <w:pPr>
      <w:spacing w:before="120"/>
      <w:ind w:right="198"/>
      <w:jc w:val="right"/>
    </w:pPr>
    <w:rPr>
      <w:rFonts w:ascii="宋体" w:hAnsi="Times New Roman" w:eastAsia="宋体" w:cs="Times New Roman"/>
      <w:sz w:val="18"/>
      <w:szCs w:val="18"/>
      <w:lang w:val="en-US" w:eastAsia="zh-CN" w:bidi="ar-SA"/>
    </w:rPr>
  </w:style>
  <w:style w:type="paragraph" w:customStyle="1" w:styleId="2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8">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2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30">
    <w:name w:val="标准文件_字母编号列项（一级）"/>
    <w:qFormat/>
    <w:uiPriority w:val="0"/>
    <w:pPr>
      <w:numPr>
        <w:ilvl w:val="0"/>
        <w:numId w:val="1"/>
      </w:numPr>
      <w:jc w:val="both"/>
    </w:pPr>
    <w:rPr>
      <w:rFonts w:ascii="宋体" w:hAnsi="Times New Roman" w:eastAsia="宋体" w:cs="Times New Roman"/>
      <w:sz w:val="21"/>
      <w:lang w:val="en-US" w:eastAsia="zh-CN" w:bidi="ar-SA"/>
    </w:rPr>
  </w:style>
  <w:style w:type="paragraph" w:customStyle="1" w:styleId="31">
    <w:name w:val="标准文件_数字编号列项（二级）"/>
    <w:qFormat/>
    <w:uiPriority w:val="0"/>
    <w:pPr>
      <w:numPr>
        <w:ilvl w:val="1"/>
        <w:numId w:val="1"/>
      </w:numPr>
      <w:tabs>
        <w:tab w:val="left" w:pos="851"/>
      </w:tabs>
      <w:jc w:val="both"/>
    </w:pPr>
    <w:rPr>
      <w:rFonts w:ascii="宋体" w:hAnsi="Times New Roman" w:eastAsia="宋体" w:cs="Times New Roman"/>
      <w:sz w:val="21"/>
      <w:lang w:val="en-US" w:eastAsia="zh-CN" w:bidi="ar-SA"/>
    </w:rPr>
  </w:style>
  <w:style w:type="paragraph" w:customStyle="1" w:styleId="32">
    <w:name w:val="标准文件_二级条标题"/>
    <w:next w:val="27"/>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paragraph" w:customStyle="1" w:styleId="33">
    <w:name w:val="标准文件_三级条标题"/>
    <w:next w:val="27"/>
    <w:qFormat/>
    <w:uiPriority w:val="0"/>
    <w:pPr>
      <w:outlineLvl w:val="3"/>
    </w:pPr>
    <w:rPr>
      <w:rFonts w:ascii="Times New Roman" w:hAnsi="Times New Roman" w:eastAsia="宋体" w:cs="Times New Roman"/>
      <w:lang w:val="en-US" w:eastAsia="zh-CN" w:bidi="ar-SA"/>
    </w:rPr>
  </w:style>
  <w:style w:type="character" w:customStyle="1" w:styleId="34">
    <w:name w:val="标题 1 字符"/>
    <w:link w:val="4"/>
    <w:qFormat/>
    <w:locked/>
    <w:uiPriority w:val="99"/>
    <w:rPr>
      <w:rFonts w:cs="Times New Roman"/>
      <w:b/>
      <w:kern w:val="44"/>
      <w:sz w:val="44"/>
    </w:rPr>
  </w:style>
  <w:style w:type="character" w:customStyle="1" w:styleId="35">
    <w:name w:val="标题 2 字符"/>
    <w:link w:val="5"/>
    <w:qFormat/>
    <w:locked/>
    <w:uiPriority w:val="99"/>
    <w:rPr>
      <w:rFonts w:ascii="Cambria" w:hAnsi="Cambria" w:eastAsia="宋体" w:cs="Times New Roman"/>
      <w:b/>
      <w:sz w:val="32"/>
    </w:rPr>
  </w:style>
  <w:style w:type="character" w:customStyle="1" w:styleId="36">
    <w:name w:val="标题 3 字符"/>
    <w:link w:val="6"/>
    <w:qFormat/>
    <w:locked/>
    <w:uiPriority w:val="99"/>
    <w:rPr>
      <w:rFonts w:cs="黑体" w:asciiTheme="majorEastAsia" w:hAnsiTheme="majorEastAsia" w:eastAsiaTheme="majorEastAsia"/>
      <w:b/>
      <w:bCs/>
      <w:sz w:val="28"/>
      <w:szCs w:val="28"/>
    </w:rPr>
  </w:style>
  <w:style w:type="character" w:customStyle="1" w:styleId="37">
    <w:name w:val="批注文字 字符"/>
    <w:link w:val="8"/>
    <w:semiHidden/>
    <w:qFormat/>
    <w:locked/>
    <w:uiPriority w:val="99"/>
    <w:rPr>
      <w:rFonts w:ascii="Calibri" w:hAnsi="Calibri" w:eastAsia="宋体" w:cs="Times New Roman"/>
      <w:sz w:val="21"/>
    </w:rPr>
  </w:style>
  <w:style w:type="character" w:customStyle="1" w:styleId="38">
    <w:name w:val="日期 字符"/>
    <w:link w:val="9"/>
    <w:semiHidden/>
    <w:qFormat/>
    <w:locked/>
    <w:uiPriority w:val="99"/>
    <w:rPr>
      <w:rFonts w:cs="Times New Roman"/>
      <w:kern w:val="2"/>
      <w:sz w:val="22"/>
      <w:szCs w:val="22"/>
    </w:rPr>
  </w:style>
  <w:style w:type="character" w:customStyle="1" w:styleId="39">
    <w:name w:val="批注框文本 字符"/>
    <w:link w:val="10"/>
    <w:semiHidden/>
    <w:qFormat/>
    <w:locked/>
    <w:uiPriority w:val="99"/>
    <w:rPr>
      <w:rFonts w:cs="Times New Roman"/>
      <w:sz w:val="18"/>
    </w:rPr>
  </w:style>
  <w:style w:type="character" w:customStyle="1" w:styleId="40">
    <w:name w:val="页脚 字符"/>
    <w:link w:val="11"/>
    <w:qFormat/>
    <w:locked/>
    <w:uiPriority w:val="99"/>
    <w:rPr>
      <w:rFonts w:cs="Times New Roman"/>
      <w:sz w:val="18"/>
    </w:rPr>
  </w:style>
  <w:style w:type="character" w:customStyle="1" w:styleId="41">
    <w:name w:val="页眉 字符"/>
    <w:link w:val="12"/>
    <w:qFormat/>
    <w:locked/>
    <w:uiPriority w:val="99"/>
    <w:rPr>
      <w:rFonts w:cs="Times New Roman"/>
      <w:sz w:val="18"/>
    </w:rPr>
  </w:style>
  <w:style w:type="character" w:customStyle="1" w:styleId="42">
    <w:name w:val="段 Char"/>
    <w:link w:val="23"/>
    <w:qFormat/>
    <w:locked/>
    <w:uiPriority w:val="99"/>
    <w:rPr>
      <w:rFonts w:ascii="宋体" w:hAnsi="Times New Roman"/>
      <w:sz w:val="22"/>
    </w:rPr>
  </w:style>
  <w:style w:type="character" w:customStyle="1" w:styleId="43">
    <w:name w:val="占位符文本1"/>
    <w:semiHidden/>
    <w:qFormat/>
    <w:uiPriority w:val="99"/>
    <w:rPr>
      <w:rFonts w:cs="Times New Roman"/>
      <w:color w:val="808080"/>
    </w:rPr>
  </w:style>
  <w:style w:type="character" w:customStyle="1" w:styleId="44">
    <w:name w:val="fontstyle01"/>
    <w:qFormat/>
    <w:uiPriority w:val="0"/>
    <w:rPr>
      <w:rFonts w:ascii="宋体" w:hAnsi="宋体" w:eastAsia="宋体" w:cs="宋体"/>
      <w:color w:val="000000"/>
      <w:sz w:val="22"/>
      <w:szCs w:val="22"/>
    </w:rPr>
  </w:style>
  <w:style w:type="paragraph" w:customStyle="1" w:styleId="45">
    <w:name w:val="一级条标题"/>
    <w:next w:val="23"/>
    <w:qFormat/>
    <w:uiPriority w:val="0"/>
    <w:pPr>
      <w:numPr>
        <w:ilvl w:val="1"/>
        <w:numId w:val="3"/>
      </w:numPr>
      <w:spacing w:before="156" w:beforeLines="50" w:after="156" w:afterLines="50"/>
      <w:ind w:left="0"/>
      <w:outlineLvl w:val="2"/>
    </w:pPr>
    <w:rPr>
      <w:rFonts w:ascii="黑体" w:hAnsi="Times New Roman" w:eastAsia="黑体" w:cs="Times New Roman"/>
      <w:sz w:val="21"/>
      <w:szCs w:val="21"/>
      <w:lang w:val="en-US" w:eastAsia="zh-CN" w:bidi="ar-SA"/>
    </w:rPr>
  </w:style>
  <w:style w:type="paragraph" w:customStyle="1" w:styleId="46">
    <w:name w:val="二级条标题"/>
    <w:basedOn w:val="45"/>
    <w:next w:val="23"/>
    <w:qFormat/>
    <w:uiPriority w:val="0"/>
    <w:pPr>
      <w:numPr>
        <w:ilvl w:val="2"/>
      </w:numPr>
      <w:spacing w:before="50" w:after="50"/>
      <w:outlineLvl w:val="3"/>
    </w:pPr>
  </w:style>
  <w:style w:type="paragraph" w:customStyle="1" w:styleId="47">
    <w:name w:val="标准文件_章标题"/>
    <w:next w:val="27"/>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48">
    <w:name w:val="标准文件_一级条标题"/>
    <w:basedOn w:val="47"/>
    <w:next w:val="27"/>
    <w:qFormat/>
    <w:uiPriority w:val="0"/>
    <w:pPr>
      <w:numPr>
        <w:ilvl w:val="2"/>
      </w:numPr>
      <w:spacing w:before="50" w:beforeLines="50" w:after="50" w:afterLines="50"/>
      <w:outlineLvl w:val="1"/>
    </w:pPr>
  </w:style>
  <w:style w:type="character" w:customStyle="1" w:styleId="49">
    <w:name w:val="正文文本 字符"/>
    <w:basedOn w:val="18"/>
    <w:link w:val="2"/>
    <w:qFormat/>
    <w:uiPriority w:val="1"/>
    <w:rPr>
      <w:rFonts w:ascii="宋体" w:hAnsi="宋体" w:cs="宋体"/>
      <w:sz w:val="21"/>
      <w:szCs w:val="21"/>
    </w:rPr>
  </w:style>
  <w:style w:type="character" w:customStyle="1" w:styleId="50">
    <w:name w:val="标题 4 字符"/>
    <w:basedOn w:val="18"/>
    <w:link w:val="7"/>
    <w:qFormat/>
    <w:uiPriority w:val="9"/>
    <w:rPr>
      <w:rFonts w:asciiTheme="majorHAnsi" w:hAnsiTheme="majorHAnsi" w:eastAsiaTheme="majorEastAsia" w:cstheme="majorBidi"/>
      <w:b/>
      <w:bCs/>
      <w:kern w:val="2"/>
      <w:sz w:val="28"/>
      <w:szCs w:val="28"/>
    </w:rPr>
  </w:style>
  <w:style w:type="character" w:customStyle="1" w:styleId="51">
    <w:name w:val="apple-converted-space"/>
    <w:basedOn w:val="18"/>
    <w:qFormat/>
    <w:uiPriority w:val="0"/>
  </w:style>
  <w:style w:type="paragraph" w:customStyle="1" w:styleId="52">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53">
    <w:name w:val="ds-markdown-paragraph"/>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40E790F-A4AE-4110-9238-EE950D49862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1417</Words>
  <Characters>1479</Characters>
  <Lines>114</Lines>
  <Paragraphs>95</Paragraphs>
  <TotalTime>3</TotalTime>
  <ScaleCrop>false</ScaleCrop>
  <LinksUpToDate>false</LinksUpToDate>
  <CharactersWithSpaces>1506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2025-12-23T14:52:00Z</dcterms:created>
  <dc:creator>xb21cn</dc:creator>
  <cp:lastModifiedBy>老兔子</cp:lastModifiedBy>
  <cp:lastPrinted>2020-06-03T16:06:00Z</cp:lastPrinted>
  <dcterms:modified xsi:type="dcterms:W3CDTF">2026-09-20T07:25:11Z</dcterms:modified>
  <dc:title>中国仪器仪表行业协会团体标准</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6922BAC78F094950B8204AB05F5EADD8_13</vt:lpwstr>
  </property>
  <property fmtid="{D5CDD505-2E9C-101B-9397-08002B2CF9AE}" pid="4" name="KSOTemplateDocerSaveRecord">
    <vt:lpwstr>eyJoZGlkIjoiODE2ZmIwNmJmZTI5ZWNhNTI3M2U2MzliNWE3ZmM3MWEiLCJ1c2VySWQiOiIxMDI2NjMzMDU4In0=</vt:lpwstr>
  </property>
</Properties>
</file>